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01B8" w14:textId="77777777" w:rsidR="00965DE1" w:rsidRPr="00965DE1" w:rsidRDefault="008B1638" w:rsidP="00965DE1">
      <w:pPr>
        <w:jc w:val="center"/>
        <w:rPr>
          <w:rFonts w:ascii="Times New Roman" w:hAnsi="Times New Roman" w:cs="Times New Roman"/>
          <w:b/>
          <w:noProof/>
          <w:sz w:val="26"/>
          <w:szCs w:val="26"/>
        </w:rPr>
      </w:pPr>
      <w:r w:rsidRPr="00965DE1">
        <w:rPr>
          <w:rFonts w:ascii="Times New Roman" w:hAnsi="Times New Roman" w:cs="Times New Roman"/>
          <w:b/>
          <w:noProof/>
          <w:sz w:val="26"/>
          <w:szCs w:val="26"/>
        </w:rPr>
        <w:t xml:space="preserve">Paskaidrojuma raksts </w:t>
      </w:r>
    </w:p>
    <w:p w14:paraId="4C2CB60D" w14:textId="79D4061A" w:rsidR="004E17DC" w:rsidRPr="005553F7" w:rsidRDefault="008B1638" w:rsidP="00965DE1">
      <w:pPr>
        <w:jc w:val="center"/>
        <w:rPr>
          <w:rFonts w:ascii="Times New Roman" w:hAnsi="Times New Roman" w:cs="Times New Roman"/>
          <w:b/>
          <w:bCs/>
          <w:noProof/>
          <w:sz w:val="26"/>
          <w:szCs w:val="26"/>
        </w:rPr>
      </w:pPr>
      <w:r w:rsidRPr="005553F7">
        <w:rPr>
          <w:rFonts w:ascii="Times New Roman" w:hAnsi="Times New Roman" w:cs="Times New Roman"/>
          <w:b/>
          <w:bCs/>
          <w:noProof/>
          <w:sz w:val="26"/>
          <w:szCs w:val="26"/>
        </w:rPr>
        <w:t>“</w:t>
      </w:r>
      <w:r w:rsidR="002E6EBE" w:rsidRPr="005553F7">
        <w:rPr>
          <w:rFonts w:ascii="Times New Roman" w:hAnsi="Times New Roman" w:cs="Times New Roman"/>
          <w:b/>
          <w:bCs/>
          <w:sz w:val="26"/>
          <w:szCs w:val="26"/>
        </w:rPr>
        <w:t>Kārtība, kādā Rīgas valst</w:t>
      </w:r>
      <w:r w:rsidR="0053234F">
        <w:rPr>
          <w:rFonts w:ascii="Times New Roman" w:hAnsi="Times New Roman" w:cs="Times New Roman"/>
          <w:b/>
          <w:bCs/>
          <w:sz w:val="26"/>
          <w:szCs w:val="26"/>
        </w:rPr>
        <w:t>s</w:t>
      </w:r>
      <w:r w:rsidR="002E6EBE" w:rsidRPr="005553F7">
        <w:rPr>
          <w:rFonts w:ascii="Times New Roman" w:hAnsi="Times New Roman" w:cs="Times New Roman"/>
          <w:b/>
          <w:bCs/>
          <w:sz w:val="26"/>
          <w:szCs w:val="26"/>
        </w:rPr>
        <w:t>pilsētas pašvaldība nodrošina līdzfinansējumu privātam bērnu uzraudzības pakalpojumam</w:t>
      </w:r>
      <w:r w:rsidRPr="005553F7">
        <w:rPr>
          <w:rFonts w:ascii="Times New Roman" w:hAnsi="Times New Roman" w:cs="Times New Roman"/>
          <w:b/>
          <w:bCs/>
          <w:noProof/>
          <w:sz w:val="26"/>
          <w:szCs w:val="26"/>
        </w:rPr>
        <w:t>”</w:t>
      </w:r>
    </w:p>
    <w:tbl>
      <w:tblPr>
        <w:tblStyle w:val="Reatabula"/>
        <w:tblW w:w="5000" w:type="pct"/>
        <w:tblLook w:val="04A0" w:firstRow="1" w:lastRow="0" w:firstColumn="1" w:lastColumn="0" w:noHBand="0" w:noVBand="1"/>
      </w:tblPr>
      <w:tblGrid>
        <w:gridCol w:w="9628"/>
      </w:tblGrid>
      <w:tr w:rsidR="00235446" w:rsidRPr="005553F7" w14:paraId="321D0289" w14:textId="77777777" w:rsidTr="00E52604">
        <w:trPr>
          <w:trHeight w:val="654"/>
        </w:trPr>
        <w:tc>
          <w:tcPr>
            <w:tcW w:w="5000" w:type="pct"/>
            <w:shd w:val="clear" w:color="auto" w:fill="auto"/>
          </w:tcPr>
          <w:p w14:paraId="3F0399A3" w14:textId="77777777" w:rsidR="002E6EBE" w:rsidRPr="005553F7" w:rsidRDefault="008B1638" w:rsidP="002E6EBE">
            <w:pPr>
              <w:numPr>
                <w:ilvl w:val="0"/>
                <w:numId w:val="3"/>
              </w:numPr>
              <w:tabs>
                <w:tab w:val="left" w:pos="284"/>
              </w:tabs>
              <w:ind w:left="0" w:firstLine="0"/>
              <w:jc w:val="both"/>
              <w:rPr>
                <w:rFonts w:ascii="Times New Roman" w:hAnsi="Times New Roman" w:cs="Times New Roman"/>
                <w:b/>
                <w:bCs/>
                <w:sz w:val="26"/>
                <w:szCs w:val="26"/>
              </w:rPr>
            </w:pPr>
            <w:r w:rsidRPr="005553F7">
              <w:rPr>
                <w:rFonts w:ascii="Times New Roman" w:hAnsi="Times New Roman" w:cs="Times New Roman"/>
                <w:b/>
                <w:bCs/>
                <w:sz w:val="26"/>
                <w:szCs w:val="26"/>
              </w:rPr>
              <w:t>Mērķi un nepieciešamības pamatojums, tostarp raksturojot iespējamās alternatīvas, kas neparedz tiesiskā regulējuma izstrādi.</w:t>
            </w:r>
          </w:p>
          <w:p w14:paraId="73E69C8B" w14:textId="77777777" w:rsidR="008B1638" w:rsidRDefault="008B1638" w:rsidP="002E6EBE">
            <w:pPr>
              <w:tabs>
                <w:tab w:val="left" w:pos="284"/>
              </w:tabs>
              <w:jc w:val="both"/>
              <w:rPr>
                <w:rFonts w:ascii="Times New Roman" w:hAnsi="Times New Roman" w:cs="Times New Roman"/>
                <w:sz w:val="26"/>
                <w:szCs w:val="26"/>
              </w:rPr>
            </w:pPr>
          </w:p>
          <w:p w14:paraId="0829DA8F" w14:textId="7712C0D0" w:rsidR="002E6EBE" w:rsidRPr="005553F7" w:rsidRDefault="008B1638" w:rsidP="002E6EBE">
            <w:pPr>
              <w:tabs>
                <w:tab w:val="left" w:pos="284"/>
              </w:tabs>
              <w:jc w:val="both"/>
              <w:rPr>
                <w:rFonts w:ascii="Times New Roman" w:hAnsi="Times New Roman" w:cs="Times New Roman"/>
                <w:sz w:val="26"/>
                <w:szCs w:val="26"/>
              </w:rPr>
            </w:pPr>
            <w:r w:rsidRPr="005553F7">
              <w:rPr>
                <w:rFonts w:ascii="Times New Roman" w:hAnsi="Times New Roman" w:cs="Times New Roman"/>
                <w:sz w:val="26"/>
                <w:szCs w:val="26"/>
              </w:rPr>
              <w:t>Saistošo noteikumu “Kārtība, kādā Rīgas valst</w:t>
            </w:r>
            <w:r w:rsidR="00E52604">
              <w:rPr>
                <w:rFonts w:ascii="Times New Roman" w:hAnsi="Times New Roman" w:cs="Times New Roman"/>
                <w:sz w:val="26"/>
                <w:szCs w:val="26"/>
              </w:rPr>
              <w:t>s</w:t>
            </w:r>
            <w:r w:rsidRPr="005553F7">
              <w:rPr>
                <w:rFonts w:ascii="Times New Roman" w:hAnsi="Times New Roman" w:cs="Times New Roman"/>
                <w:sz w:val="26"/>
                <w:szCs w:val="26"/>
              </w:rPr>
              <w:t xml:space="preserve">pilsētas pašvaldība nodrošina līdzfinansējumu privātam bērnu uzraudzības pakalpojumam” (turpmāk – Saistošie noteikumi) mērķis ir nodrošināt bērnu uzraudzības pakalpojumu pieejamību un kvalitāti Rīgas valstspilsētas pašvaldībā, veicinot bērnu labklājību un ģimeņu darba un dzīves līdzsvaru. Saistošie noteikumi nosaka Rīgas </w:t>
            </w:r>
            <w:r w:rsidR="00ED734B">
              <w:rPr>
                <w:rFonts w:ascii="Times New Roman" w:hAnsi="Times New Roman" w:cs="Times New Roman"/>
                <w:sz w:val="26"/>
                <w:szCs w:val="26"/>
              </w:rPr>
              <w:t>valsts</w:t>
            </w:r>
            <w:r w:rsidRPr="005553F7">
              <w:rPr>
                <w:rFonts w:ascii="Times New Roman" w:hAnsi="Times New Roman" w:cs="Times New Roman"/>
                <w:sz w:val="26"/>
                <w:szCs w:val="26"/>
              </w:rPr>
              <w:t>pilsētas pašvaldības (turpmāk – Pašvaldība) līdzfinansējuma par bērnu uzraudzības pakalpojumu (turpmāk – līdzfinansējums) apmēru un apmēra noteikšanas metodiku, kā arī kritērijus līdzfinansējuma piešķiršanai un tā pārtraukšanai</w:t>
            </w:r>
            <w:r w:rsidR="005553F7">
              <w:rPr>
                <w:rFonts w:ascii="Times New Roman" w:hAnsi="Times New Roman" w:cs="Times New Roman"/>
                <w:sz w:val="26"/>
                <w:szCs w:val="26"/>
              </w:rPr>
              <w:t xml:space="preserve">, </w:t>
            </w:r>
            <w:r w:rsidRPr="005553F7">
              <w:rPr>
                <w:rFonts w:ascii="Times New Roman" w:hAnsi="Times New Roman" w:cs="Times New Roman"/>
                <w:sz w:val="26"/>
                <w:szCs w:val="26"/>
              </w:rPr>
              <w:t>veicinot tiesiskuma principu ievērošanu.</w:t>
            </w:r>
          </w:p>
          <w:p w14:paraId="48B25958" w14:textId="7C6EC429" w:rsidR="002E6EBE" w:rsidRPr="005553F7" w:rsidRDefault="008B1638" w:rsidP="002E6EBE">
            <w:pPr>
              <w:tabs>
                <w:tab w:val="left" w:pos="284"/>
              </w:tabs>
              <w:jc w:val="both"/>
              <w:rPr>
                <w:rFonts w:ascii="Times New Roman" w:hAnsi="Times New Roman" w:cs="Times New Roman"/>
                <w:b/>
                <w:bCs/>
                <w:sz w:val="26"/>
                <w:szCs w:val="26"/>
              </w:rPr>
            </w:pPr>
            <w:r w:rsidRPr="005553F7">
              <w:rPr>
                <w:rFonts w:ascii="Times New Roman" w:hAnsi="Times New Roman" w:cs="Times New Roman"/>
                <w:sz w:val="26"/>
                <w:szCs w:val="26"/>
              </w:rPr>
              <w:t xml:space="preserve">Lai nodrošinātu līdzfinansējuma piešķiršanu, izmaksu un kontroli starp Rīgas valstspilsētas pašvaldības Izglītības, kultūras un sporta departamenta (turpmāk – Departaments) Administratīvo pārvaldi un bērnu uzraudzības pakalpojuma sniedzēju tiek slēgts divpusējs līgums. Saraksts, ar kuriem bērnu uzraudzības pakalpojumu sniedzējiem Departamenta Administratīvā pārvalde ir noslēgusi līgumu, tiek publicēts tīmekļvietnē izglitiba.riga.lv sadaļā </w:t>
            </w:r>
            <w:r w:rsidR="00ED734B">
              <w:rPr>
                <w:rFonts w:ascii="Times New Roman" w:hAnsi="Times New Roman" w:cs="Times New Roman"/>
                <w:sz w:val="26"/>
                <w:szCs w:val="26"/>
              </w:rPr>
              <w:t>“</w:t>
            </w:r>
            <w:r w:rsidRPr="005553F7">
              <w:rPr>
                <w:rFonts w:ascii="Times New Roman" w:hAnsi="Times New Roman" w:cs="Times New Roman"/>
                <w:sz w:val="26"/>
                <w:szCs w:val="26"/>
              </w:rPr>
              <w:t>Iestāžu katalogs</w:t>
            </w:r>
            <w:r w:rsidR="00ED734B">
              <w:rPr>
                <w:rFonts w:ascii="Times New Roman" w:hAnsi="Times New Roman" w:cs="Times New Roman"/>
                <w:sz w:val="26"/>
                <w:szCs w:val="26"/>
              </w:rPr>
              <w:t>”</w:t>
            </w:r>
            <w:r w:rsidRPr="005553F7">
              <w:rPr>
                <w:rFonts w:ascii="Times New Roman" w:hAnsi="Times New Roman" w:cs="Times New Roman"/>
                <w:sz w:val="26"/>
                <w:szCs w:val="26"/>
              </w:rPr>
              <w:t>.</w:t>
            </w:r>
          </w:p>
          <w:p w14:paraId="7D1A640D"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Līdzfinansējums paredzēts bērniem no pusotra gada vecuma līdz piecu gadu vecumam.</w:t>
            </w:r>
          </w:p>
          <w:p w14:paraId="787D33D1" w14:textId="3B49D923"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 xml:space="preserve">Pašlaik kārtību, kādā Pašvaldība nodrošina līdzfinansējumu privātam bērnu uzraudzības pakalpojumam reglamentē Rīgas domes 2016.gada 17.maija saistošie noteikumi Nr.204 “Kārtība, kāda Rīgas pilsētas pašvaldība nodrošina līdzfinansējumu privātam bērnu uzraudzības pakalpojumam”, kas izdoti </w:t>
            </w:r>
            <w:r w:rsidRPr="005553F7">
              <w:rPr>
                <w:noProof/>
                <w:sz w:val="26"/>
                <w:szCs w:val="26"/>
              </w:rPr>
              <w:t>saskaņā ar spēku zaudējušā likuma “Par pašvaldībām” 43.panta trešo daļu</w:t>
            </w:r>
            <w:r w:rsidRPr="005553F7">
              <w:rPr>
                <w:sz w:val="26"/>
                <w:szCs w:val="26"/>
              </w:rPr>
              <w:t>.</w:t>
            </w:r>
          </w:p>
          <w:p w14:paraId="7639C4BF" w14:textId="063F1FCB"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Ar Saistošajiem noteikumiem tiek noteikts, ka bērns, kuram uzsākot pirmsskolas gaitas ir grūti adaptēties jaunajā vidē, var atgriezties pie aukles pakalpojuma un turpināt saņemt līdzfinansējumu līdz piecu gadu vecuma</w:t>
            </w:r>
            <w:r w:rsidR="00377A22">
              <w:rPr>
                <w:sz w:val="26"/>
                <w:szCs w:val="26"/>
              </w:rPr>
              <w:t>m</w:t>
            </w:r>
            <w:r w:rsidRPr="005553F7">
              <w:rPr>
                <w:sz w:val="26"/>
                <w:szCs w:val="26"/>
              </w:rPr>
              <w:t>, kad iestājas Izglītības likuma 4.pantā noteiktā obligātā bērnu sagatavošana pamatizglītības ieguvei. Līdz šim spēkā esošajos saistošajos noteikumos šāda iespēja netika nodrošināta. Nosacījumi, lai bērna uzraudzības pakalpojuma sniedzējs par bērnam sniegto uzraudzības pakalpojumu varētu saņemt līdzfinansējumu, ir šādi:</w:t>
            </w:r>
          </w:p>
          <w:p w14:paraId="213DBBEA"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1) bērnam jābūt vismaz pusotru gadu vecam un bērna un viena no bērna likumiskajiem pārstāvjiem deklarētās dzīvesvietas adresei ir jābūt Pašvaldības administratīvajā teritorijā;</w:t>
            </w:r>
          </w:p>
          <w:p w14:paraId="585EC278"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2) bērna likumiskajam pārstāvim ir jābūt noslēgtam rakstveida līgumam ar bērnu uzraudzības pakalpojuma sniedzēju atbilstoši Ministru kabineta noteikumos noteiktajām prasībām;</w:t>
            </w:r>
          </w:p>
          <w:p w14:paraId="465753DA"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3) izvēlētais bērnu uzraudzības pakalpojuma sniedzējs nav bērna likumiskais pārstāvis;</w:t>
            </w:r>
          </w:p>
          <w:p w14:paraId="1F38BF5E" w14:textId="50009DA4"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4) bērn</w:t>
            </w:r>
            <w:r w:rsidR="005553F7">
              <w:rPr>
                <w:sz w:val="26"/>
                <w:szCs w:val="26"/>
              </w:rPr>
              <w:t>am</w:t>
            </w:r>
            <w:r w:rsidRPr="005553F7">
              <w:rPr>
                <w:sz w:val="26"/>
                <w:szCs w:val="26"/>
              </w:rPr>
              <w:t xml:space="preserve"> ir reģistrēts pieteikums Pašvaldības izglītības iestādē, kas īsteno pirmsskolas izglītības programmu, un reģistrācijas pieteikumā norādītais vēlamais mācību uzsākšanas laiks ir ne vēlāk kā brīdis, kad bērns sasniedzis obligātās izglītības vecumu;</w:t>
            </w:r>
          </w:p>
          <w:p w14:paraId="5F124593" w14:textId="678B93C5"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 xml:space="preserve">5) </w:t>
            </w:r>
            <w:r w:rsidR="005553F7">
              <w:rPr>
                <w:sz w:val="26"/>
                <w:szCs w:val="26"/>
              </w:rPr>
              <w:t>b</w:t>
            </w:r>
            <w:r w:rsidRPr="005553F7">
              <w:rPr>
                <w:sz w:val="26"/>
                <w:szCs w:val="26"/>
              </w:rPr>
              <w:t>ērns Valsts izglītības informācijas sistēmā nav reģistrēts kā privātās vai Pašvaldības izglītības iestādes vai citas pašvaldības izglītības iestādes izglītojamais, kas apgūst pirmsskolas izglītības programmu.</w:t>
            </w:r>
          </w:p>
          <w:p w14:paraId="5B03FCBB"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Savukārt, nosacījumi, no kuriem, iestājoties vismaz vienam, līdzfinansējuma izmaksu pārtrauc, ir:</w:t>
            </w:r>
          </w:p>
          <w:p w14:paraId="43037417"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lastRenderedPageBreak/>
              <w:t>1) bērnam Pašvaldības noteiktajā kārtībā nav reģistrēts pieteikums Pašvaldības izglītības iestādē, kas īsteno pirmsskolas izglītības programmu;</w:t>
            </w:r>
          </w:p>
          <w:p w14:paraId="76896E3E"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2) bērns tiek uzņemts privātā vai Pašvaldības izglītības iestādē vai citas pašvaldības pirmsskolas izglītības iestādē;</w:t>
            </w:r>
          </w:p>
          <w:p w14:paraId="11574334" w14:textId="6A57C644"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3) bērnam mainījusies deklarētās dzīvesvietas adrese, un tā ir ārpus Pašvaldības administratīvās teritorijas, vai neviena no bērna likumiskā pārstāvja deklarētās dzīvesvietas adres</w:t>
            </w:r>
            <w:r w:rsidR="003E164B">
              <w:rPr>
                <w:sz w:val="26"/>
                <w:szCs w:val="26"/>
              </w:rPr>
              <w:t>ēm</w:t>
            </w:r>
            <w:r w:rsidRPr="005553F7">
              <w:rPr>
                <w:sz w:val="26"/>
                <w:szCs w:val="26"/>
              </w:rPr>
              <w:t xml:space="preserve"> vairs nav Pašvaldības administratīvajā teritorijā;</w:t>
            </w:r>
          </w:p>
          <w:p w14:paraId="5BB9CCF9"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4) saņemts bērna likumiskā pārstāvja iesniegums par līguma ar bērnu uzraudzības pakalpojuma sniedzēju pārtraukšanu;</w:t>
            </w:r>
          </w:p>
          <w:p w14:paraId="01F9574F"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5) ir pārtraukts līgums starp bērna uzraudzības pakalpojuma sniedzēju un Departamenta Administratīvo pārvaldi;</w:t>
            </w:r>
          </w:p>
          <w:p w14:paraId="559725EC" w14:textId="77777777" w:rsidR="002E6EBE" w:rsidRPr="005553F7" w:rsidRDefault="008B1638" w:rsidP="002E6EBE">
            <w:pPr>
              <w:pStyle w:val="Paraststmeklis"/>
              <w:shd w:val="clear" w:color="auto" w:fill="FFFFFF"/>
              <w:spacing w:before="0" w:beforeAutospacing="0" w:after="0" w:afterAutospacing="0"/>
              <w:jc w:val="both"/>
              <w:rPr>
                <w:sz w:val="26"/>
                <w:szCs w:val="26"/>
              </w:rPr>
            </w:pPr>
            <w:r w:rsidRPr="005553F7">
              <w:rPr>
                <w:sz w:val="26"/>
                <w:szCs w:val="26"/>
              </w:rPr>
              <w:t>6) Departamenta Administratīvā pārvalde ir konstatējusi, ka Bērnu uzraudzības pakalpojuma sniedzēju reģistrā ir informācija, ka bērnu uzraudzības pakalpojuma sniedzēja darbība ir apturēta vai pārtraukta.</w:t>
            </w:r>
          </w:p>
          <w:p w14:paraId="63D65F90" w14:textId="6ABFD8B3" w:rsidR="002E6EBE" w:rsidRPr="005553F7" w:rsidRDefault="002E6EBE" w:rsidP="002E6EBE">
            <w:pPr>
              <w:shd w:val="clear" w:color="auto" w:fill="FFFFFF"/>
              <w:jc w:val="both"/>
              <w:rPr>
                <w:rFonts w:ascii="Times New Roman" w:eastAsia="Times New Roman" w:hAnsi="Times New Roman" w:cs="Times New Roman"/>
                <w:b/>
                <w:bCs/>
                <w:color w:val="000000" w:themeColor="text1"/>
                <w:sz w:val="26"/>
                <w:szCs w:val="26"/>
                <w:lang w:eastAsia="lv-LV"/>
              </w:rPr>
            </w:pPr>
          </w:p>
        </w:tc>
      </w:tr>
      <w:tr w:rsidR="00235446" w:rsidRPr="005553F7" w14:paraId="6F6E7C67" w14:textId="77777777" w:rsidTr="00E52604">
        <w:tc>
          <w:tcPr>
            <w:tcW w:w="5000" w:type="pct"/>
          </w:tcPr>
          <w:p w14:paraId="712BABCB" w14:textId="3EB3508A" w:rsidR="002E6EBE" w:rsidRPr="005553F7" w:rsidRDefault="008B1638" w:rsidP="002E6EBE">
            <w:pPr>
              <w:shd w:val="clear" w:color="auto" w:fill="FFFFFF"/>
              <w:jc w:val="both"/>
              <w:rPr>
                <w:rFonts w:ascii="Times New Roman" w:hAnsi="Times New Roman" w:cs="Times New Roman"/>
                <w:b/>
                <w:bCs/>
                <w:sz w:val="26"/>
                <w:szCs w:val="26"/>
              </w:rPr>
            </w:pPr>
            <w:r w:rsidRPr="005553F7">
              <w:rPr>
                <w:rFonts w:ascii="Times New Roman" w:hAnsi="Times New Roman" w:cs="Times New Roman"/>
                <w:b/>
                <w:bCs/>
                <w:sz w:val="26"/>
                <w:szCs w:val="26"/>
              </w:rPr>
              <w:lastRenderedPageBreak/>
              <w:t xml:space="preserve">2. </w:t>
            </w:r>
            <w:bookmarkStart w:id="0" w:name="_Hlk141099788"/>
            <w:r w:rsidRPr="005553F7">
              <w:rPr>
                <w:rFonts w:ascii="Times New Roman" w:hAnsi="Times New Roman" w:cs="Times New Roman"/>
                <w:b/>
                <w:bCs/>
                <w:sz w:val="26"/>
                <w:szCs w:val="26"/>
              </w:rPr>
              <w:t>Fiskālā ietekme uz pašvaldības budžetu, iekļaujot attiecīgus aprēķi</w:t>
            </w:r>
            <w:bookmarkEnd w:id="0"/>
            <w:r w:rsidRPr="005553F7">
              <w:rPr>
                <w:rFonts w:ascii="Times New Roman" w:hAnsi="Times New Roman" w:cs="Times New Roman"/>
                <w:b/>
                <w:bCs/>
                <w:sz w:val="26"/>
                <w:szCs w:val="26"/>
              </w:rPr>
              <w:t>nus</w:t>
            </w:r>
          </w:p>
          <w:p w14:paraId="1FECD2F3" w14:textId="77777777" w:rsidR="008B1638" w:rsidRDefault="008B1638" w:rsidP="002E6EBE">
            <w:pPr>
              <w:shd w:val="clear" w:color="auto" w:fill="FFFFFF"/>
              <w:jc w:val="both"/>
              <w:rPr>
                <w:rFonts w:ascii="Times New Roman" w:hAnsi="Times New Roman" w:cs="Times New Roman"/>
                <w:sz w:val="26"/>
                <w:szCs w:val="26"/>
              </w:rPr>
            </w:pPr>
          </w:p>
          <w:p w14:paraId="336A7B97" w14:textId="03072648" w:rsidR="002E6EBE" w:rsidRPr="005553F7" w:rsidRDefault="008B1638" w:rsidP="002E6EBE">
            <w:pPr>
              <w:shd w:val="clear" w:color="auto" w:fill="FFFFFF"/>
              <w:jc w:val="both"/>
              <w:rPr>
                <w:rFonts w:ascii="Times New Roman" w:hAnsi="Times New Roman" w:cs="Times New Roman"/>
                <w:sz w:val="26"/>
                <w:szCs w:val="26"/>
              </w:rPr>
            </w:pPr>
            <w:r w:rsidRPr="005553F7">
              <w:rPr>
                <w:rFonts w:ascii="Times New Roman" w:hAnsi="Times New Roman" w:cs="Times New Roman"/>
                <w:sz w:val="26"/>
                <w:szCs w:val="26"/>
              </w:rPr>
              <w:t>Līdzfinansējums tiek aprēķināts par vienu bērnu mēnesī. Saistošajos noteikumos norādīta formula</w:t>
            </w:r>
            <w:r w:rsidR="003E164B">
              <w:rPr>
                <w:rFonts w:ascii="Times New Roman" w:hAnsi="Times New Roman" w:cs="Times New Roman"/>
                <w:sz w:val="26"/>
                <w:szCs w:val="26"/>
              </w:rPr>
              <w:t>,</w:t>
            </w:r>
            <w:r w:rsidRPr="005553F7">
              <w:rPr>
                <w:rFonts w:ascii="Times New Roman" w:hAnsi="Times New Roman" w:cs="Times New Roman"/>
                <w:sz w:val="26"/>
                <w:szCs w:val="26"/>
              </w:rPr>
              <w:t xml:space="preserve"> saskaņā ar kuru aprēķina līdzfinansējuma apmēru par vienu bērnu mēnesī. 2024.gadā līdzfinansējums par vienu bērnu mēnesī </w:t>
            </w:r>
            <w:r>
              <w:rPr>
                <w:rFonts w:ascii="Times New Roman" w:hAnsi="Times New Roman" w:cs="Times New Roman"/>
                <w:sz w:val="26"/>
                <w:szCs w:val="26"/>
              </w:rPr>
              <w:t xml:space="preserve">ir </w:t>
            </w:r>
            <w:r w:rsidRPr="005553F7">
              <w:rPr>
                <w:rFonts w:ascii="Times New Roman" w:hAnsi="Times New Roman" w:cs="Times New Roman"/>
                <w:sz w:val="26"/>
                <w:szCs w:val="26"/>
              </w:rPr>
              <w:t xml:space="preserve">EUR 242,66. Līdzfinansējuma apmērs veidojas no izmaksām par Pašvaldības izglītības iestādē strādājoša pirmsskolas skolotāju palīgu darba izmaksām mēnesī iepriekšējā budžeta gadā, Pašvaldības noteiktās vienam bērnam nepieciešamās vidējās izmaksas Pašvaldības izglītības iestādēs par komunālajiem pakalpojumiem iepriekšējā budžeta gadā un Pašvaldības noteiktās vienam bērnam nepieciešamās vidējās izmaksas Pašvaldības izglītības iestādēs par mācību līdzekļiem un materiāliem (izņemot valsts budžeta dotācijas mācību līdzekļu iegādei) iepriekšējā budžeta gadā. </w:t>
            </w:r>
          </w:p>
          <w:p w14:paraId="1714189D" w14:textId="729B43DE" w:rsidR="002E6EBE" w:rsidRPr="003E164B" w:rsidRDefault="008B1638" w:rsidP="002E6EBE">
            <w:pPr>
              <w:jc w:val="both"/>
              <w:rPr>
                <w:rFonts w:ascii="Times New Roman" w:hAnsi="Times New Roman" w:cs="Times New Roman"/>
                <w:sz w:val="26"/>
                <w:szCs w:val="26"/>
              </w:rPr>
            </w:pPr>
            <w:r w:rsidRPr="005553F7">
              <w:rPr>
                <w:rFonts w:ascii="Times New Roman" w:hAnsi="Times New Roman" w:cs="Times New Roman"/>
                <w:sz w:val="26"/>
                <w:szCs w:val="26"/>
              </w:rPr>
              <w:t xml:space="preserve">Fiskālā ietekme uz </w:t>
            </w:r>
            <w:r w:rsidR="003E164B">
              <w:rPr>
                <w:rFonts w:ascii="Times New Roman" w:hAnsi="Times New Roman" w:cs="Times New Roman"/>
                <w:sz w:val="26"/>
                <w:szCs w:val="26"/>
              </w:rPr>
              <w:t>P</w:t>
            </w:r>
            <w:r w:rsidRPr="005553F7">
              <w:rPr>
                <w:rFonts w:ascii="Times New Roman" w:hAnsi="Times New Roman" w:cs="Times New Roman"/>
                <w:sz w:val="26"/>
                <w:szCs w:val="26"/>
              </w:rPr>
              <w:t xml:space="preserve">ašvaldības budžetu atkarīga no pieprasījuma pēc bērnu uzraudzības pakalpojuma un no bērnu skaita, kas saņem šos pakalpojumus. Šobrīd Departaments noslēdzis 220 līgumus ar bērnu uzraudzības pakalpojumu sniedzējiem un pakalpojumu </w:t>
            </w:r>
            <w:r w:rsidRPr="003E164B">
              <w:rPr>
                <w:rFonts w:ascii="Times New Roman" w:hAnsi="Times New Roman" w:cs="Times New Roman"/>
                <w:sz w:val="26"/>
                <w:szCs w:val="26"/>
              </w:rPr>
              <w:t xml:space="preserve">saņem 391 bērns. </w:t>
            </w:r>
          </w:p>
          <w:p w14:paraId="790100D2" w14:textId="0A57638C" w:rsidR="002E6EBE" w:rsidRPr="003E164B" w:rsidRDefault="008B1638" w:rsidP="001929D5">
            <w:pPr>
              <w:pStyle w:val="Paraststmeklis"/>
              <w:shd w:val="clear" w:color="auto" w:fill="FFFFFF"/>
              <w:spacing w:before="0" w:beforeAutospacing="0" w:after="0" w:afterAutospacing="0"/>
              <w:jc w:val="both"/>
              <w:rPr>
                <w:sz w:val="26"/>
                <w:szCs w:val="26"/>
              </w:rPr>
            </w:pPr>
            <w:r w:rsidRPr="003E164B">
              <w:rPr>
                <w:sz w:val="26"/>
                <w:szCs w:val="26"/>
              </w:rPr>
              <w:t>Līdzfinansējuma izmaksai nepieciešamie finanšu līdzekļi tiks segti no Departamenta budžeta programmai 16.02.01. “Pašvaldības finansējums privāto izglītības iestāžu pirmsskolas izglītības programmu īstenošanai” apstiprinātajiem līdzekļiem. Papildu finanšu līdzekļi nav nepieciešami.</w:t>
            </w:r>
          </w:p>
          <w:p w14:paraId="111F0E26" w14:textId="1ECCA8D9" w:rsidR="002E6EBE" w:rsidRPr="005553F7" w:rsidRDefault="002E6EBE" w:rsidP="002E6EBE">
            <w:pPr>
              <w:shd w:val="clear" w:color="auto" w:fill="FFFFFF"/>
              <w:jc w:val="both"/>
              <w:rPr>
                <w:rFonts w:ascii="Times New Roman" w:eastAsia="Times New Roman" w:hAnsi="Times New Roman" w:cs="Times New Roman"/>
                <w:b/>
                <w:bCs/>
                <w:color w:val="000000" w:themeColor="text1"/>
                <w:sz w:val="26"/>
                <w:szCs w:val="26"/>
                <w:lang w:eastAsia="lv-LV"/>
              </w:rPr>
            </w:pPr>
          </w:p>
        </w:tc>
      </w:tr>
      <w:tr w:rsidR="00235446" w:rsidRPr="005553F7" w14:paraId="7EF01694" w14:textId="77777777" w:rsidTr="00E52604">
        <w:tc>
          <w:tcPr>
            <w:tcW w:w="5000" w:type="pct"/>
          </w:tcPr>
          <w:p w14:paraId="75AABFD1" w14:textId="77777777" w:rsidR="002E6EBE" w:rsidRPr="005553F7" w:rsidRDefault="008B1638" w:rsidP="002E6EBE">
            <w:pPr>
              <w:shd w:val="clear" w:color="auto" w:fill="FFFFFF"/>
              <w:jc w:val="both"/>
              <w:rPr>
                <w:rFonts w:ascii="Times New Roman" w:hAnsi="Times New Roman" w:cs="Times New Roman"/>
                <w:b/>
                <w:bCs/>
                <w:sz w:val="26"/>
                <w:szCs w:val="26"/>
              </w:rPr>
            </w:pPr>
            <w:r w:rsidRPr="005553F7">
              <w:rPr>
                <w:rFonts w:ascii="Times New Roman" w:hAnsi="Times New Roman" w:cs="Times New Roman"/>
                <w:b/>
                <w:bCs/>
                <w:sz w:val="26"/>
                <w:szCs w:val="26"/>
              </w:rPr>
              <w:t>3. Sociālā ietekme, ietekme uz vidi, iedzīvotāju veselību, uzņēmējdarbības vidi pašvaldības teritorijā, kā arī plānotā regulējuma ietekme uz konkurenci (aktuālā situācija, prognozes tirgū un atbilstība brīvai un godīgai konkurencei)</w:t>
            </w:r>
          </w:p>
          <w:p w14:paraId="5CA624A5" w14:textId="77777777" w:rsidR="008B1638" w:rsidRDefault="008B1638" w:rsidP="002E6EBE">
            <w:pPr>
              <w:shd w:val="clear" w:color="auto" w:fill="FFFFFF"/>
              <w:jc w:val="both"/>
              <w:rPr>
                <w:rFonts w:ascii="Times New Roman" w:hAnsi="Times New Roman" w:cs="Times New Roman"/>
                <w:sz w:val="26"/>
                <w:szCs w:val="26"/>
              </w:rPr>
            </w:pPr>
          </w:p>
          <w:p w14:paraId="328DB3A1" w14:textId="5B656A26" w:rsidR="002E6EBE" w:rsidRPr="005553F7" w:rsidRDefault="008B1638" w:rsidP="002E6EBE">
            <w:pPr>
              <w:shd w:val="clear" w:color="auto" w:fill="FFFFFF"/>
              <w:jc w:val="both"/>
              <w:rPr>
                <w:rFonts w:ascii="Times New Roman" w:hAnsi="Times New Roman" w:cs="Times New Roman"/>
                <w:sz w:val="26"/>
                <w:szCs w:val="26"/>
              </w:rPr>
            </w:pPr>
            <w:r w:rsidRPr="005553F7">
              <w:rPr>
                <w:rFonts w:ascii="Times New Roman" w:hAnsi="Times New Roman" w:cs="Times New Roman"/>
                <w:sz w:val="26"/>
                <w:szCs w:val="26"/>
              </w:rPr>
              <w:t xml:space="preserve">Saistošie noteikumi, rada pozitīvu sociālo ietekmi, nodrošinot pieejamus un kvalitatīvus bērnu uzraudzības pakalpojumus vecākiem, kas strādā vai studē, palīdz samazināt bērnu uzraudzības izmaksas un veicina sieviešu nodarbinātību, tādējādi veicinot ekonomisko neatkarību un ģimenes labklājību. </w:t>
            </w:r>
          </w:p>
          <w:p w14:paraId="01310753" w14:textId="77777777" w:rsidR="002E6EBE" w:rsidRPr="005553F7" w:rsidRDefault="008B1638" w:rsidP="002E6EBE">
            <w:pPr>
              <w:shd w:val="clear" w:color="auto" w:fill="FFFFFF"/>
              <w:jc w:val="both"/>
              <w:rPr>
                <w:rFonts w:ascii="Times New Roman" w:hAnsi="Times New Roman" w:cs="Times New Roman"/>
                <w:sz w:val="26"/>
                <w:szCs w:val="26"/>
              </w:rPr>
            </w:pPr>
            <w:r w:rsidRPr="005553F7">
              <w:rPr>
                <w:rFonts w:ascii="Times New Roman" w:hAnsi="Times New Roman" w:cs="Times New Roman"/>
                <w:sz w:val="26"/>
                <w:szCs w:val="26"/>
              </w:rPr>
              <w:t>Uzņēmējdarbības videi Pašvaldības administratīvajā teritorijā šie Saistošie noteikumi var radīt pozitīvu ietekmi, veicinot bērnu uzraudzības pakalpojumu sniedzēju pakalpojuma piedāvājumu, kas savukārt veicina uzņēmējdarbības un darba iespēju attīstību.</w:t>
            </w:r>
          </w:p>
          <w:p w14:paraId="50F2BAD7" w14:textId="77777777" w:rsidR="002E6EBE" w:rsidRPr="005553F7" w:rsidRDefault="008B1638" w:rsidP="002E6EBE">
            <w:pPr>
              <w:shd w:val="clear" w:color="auto" w:fill="FFFFFF"/>
              <w:jc w:val="both"/>
              <w:rPr>
                <w:rFonts w:ascii="Times New Roman" w:hAnsi="Times New Roman" w:cs="Times New Roman"/>
                <w:sz w:val="26"/>
                <w:szCs w:val="26"/>
              </w:rPr>
            </w:pPr>
            <w:r w:rsidRPr="005553F7">
              <w:rPr>
                <w:rFonts w:ascii="Times New Roman" w:hAnsi="Times New Roman" w:cs="Times New Roman"/>
                <w:sz w:val="26"/>
                <w:szCs w:val="26"/>
              </w:rPr>
              <w:lastRenderedPageBreak/>
              <w:t>Plānotā regulējuma ietekme uz konkurenci ir tāda, ka tā var stimulēt bērnu uzraudzības pakalpojumu sniedzējus uz inovācijām un uzņēmējdarbības efektivitātes uzlabošanu, kas var veicināt konkurētspēju un piedāvāt labākus pakalpojumus patērētājiem. Plānotais regulējums veicinās bērnu uzraudzības pakalpojuma pievilcību citiem iespējamiem bērnu uzraudzības pakalpojumu sniedzējiem.</w:t>
            </w:r>
          </w:p>
          <w:p w14:paraId="68221798" w14:textId="43724D3E" w:rsidR="002E6EBE" w:rsidRPr="005553F7" w:rsidRDefault="002E6EBE" w:rsidP="002E6EBE">
            <w:pPr>
              <w:shd w:val="clear" w:color="auto" w:fill="FFFFFF"/>
              <w:jc w:val="both"/>
              <w:rPr>
                <w:rFonts w:ascii="Times New Roman" w:eastAsia="Times New Roman" w:hAnsi="Times New Roman" w:cs="Times New Roman"/>
                <w:b/>
                <w:bCs/>
                <w:color w:val="000000" w:themeColor="text1"/>
                <w:sz w:val="26"/>
                <w:szCs w:val="26"/>
                <w:lang w:eastAsia="lv-LV"/>
              </w:rPr>
            </w:pPr>
          </w:p>
        </w:tc>
      </w:tr>
      <w:tr w:rsidR="00235446" w:rsidRPr="005553F7" w14:paraId="6251B64A" w14:textId="77777777" w:rsidTr="00E52604">
        <w:tc>
          <w:tcPr>
            <w:tcW w:w="5000" w:type="pct"/>
          </w:tcPr>
          <w:p w14:paraId="50703145" w14:textId="3FDD459A" w:rsidR="002E6EBE" w:rsidRPr="005553F7" w:rsidRDefault="008B1638" w:rsidP="002E6EBE">
            <w:pPr>
              <w:jc w:val="both"/>
              <w:rPr>
                <w:rFonts w:ascii="Times New Roman" w:eastAsia="Times New Roman" w:hAnsi="Times New Roman" w:cs="Times New Roman"/>
                <w:b/>
                <w:bCs/>
                <w:color w:val="000000" w:themeColor="text1"/>
                <w:sz w:val="26"/>
                <w:szCs w:val="26"/>
                <w:lang w:eastAsia="lv-LV"/>
              </w:rPr>
            </w:pPr>
            <w:r w:rsidRPr="005553F7">
              <w:rPr>
                <w:rFonts w:ascii="Times New Roman" w:eastAsia="Times New Roman" w:hAnsi="Times New Roman" w:cs="Times New Roman"/>
                <w:b/>
                <w:bCs/>
                <w:color w:val="000000" w:themeColor="text1"/>
                <w:sz w:val="26"/>
                <w:szCs w:val="26"/>
                <w:lang w:eastAsia="lv-LV"/>
              </w:rPr>
              <w:lastRenderedPageBreak/>
              <w:t>4. Ietekme uz administratīvajām procedūrām un to izmaksām gan attiecībā uz saimnieciskās darbības veicējiem, gan fiziskajām personām un nevalstiskā sektora organizācijām, gan budžeta finansētām institūcijām</w:t>
            </w:r>
          </w:p>
          <w:p w14:paraId="6E9AE37A" w14:textId="77777777" w:rsidR="002E6EBE" w:rsidRPr="005553F7" w:rsidRDefault="002E6EBE" w:rsidP="002E6EBE">
            <w:pPr>
              <w:jc w:val="both"/>
              <w:rPr>
                <w:rFonts w:ascii="Times New Roman" w:eastAsia="Times New Roman" w:hAnsi="Times New Roman" w:cs="Times New Roman"/>
                <w:b/>
                <w:bCs/>
                <w:color w:val="000000" w:themeColor="text1"/>
                <w:sz w:val="26"/>
                <w:szCs w:val="26"/>
                <w:lang w:eastAsia="lv-LV"/>
              </w:rPr>
            </w:pPr>
          </w:p>
          <w:p w14:paraId="26F159FB" w14:textId="5049BC04" w:rsidR="002E6EBE" w:rsidRPr="005553F7" w:rsidRDefault="008B1638" w:rsidP="002E6EBE">
            <w:pPr>
              <w:jc w:val="both"/>
              <w:rPr>
                <w:rFonts w:ascii="Times New Roman" w:eastAsia="Times New Roman" w:hAnsi="Times New Roman" w:cs="Times New Roman"/>
                <w:color w:val="000000" w:themeColor="text1"/>
                <w:sz w:val="26"/>
                <w:szCs w:val="26"/>
                <w:lang w:eastAsia="lv-LV"/>
              </w:rPr>
            </w:pPr>
            <w:r w:rsidRPr="005553F7">
              <w:rPr>
                <w:rFonts w:ascii="Times New Roman" w:eastAsia="Times New Roman" w:hAnsi="Times New Roman" w:cs="Times New Roman"/>
                <w:color w:val="000000" w:themeColor="text1"/>
                <w:sz w:val="26"/>
                <w:szCs w:val="26"/>
                <w:lang w:eastAsia="lv-LV"/>
              </w:rPr>
              <w:t>Neietekmē</w:t>
            </w:r>
          </w:p>
          <w:p w14:paraId="0C959A6B" w14:textId="4715B5EF" w:rsidR="002E6EBE" w:rsidRPr="005553F7" w:rsidRDefault="002E6EBE" w:rsidP="00C81FD7">
            <w:pPr>
              <w:jc w:val="both"/>
              <w:rPr>
                <w:rFonts w:ascii="Times New Roman" w:eastAsia="Times New Roman" w:hAnsi="Times New Roman" w:cs="Times New Roman"/>
                <w:b/>
                <w:bCs/>
                <w:color w:val="000000" w:themeColor="text1"/>
                <w:sz w:val="26"/>
                <w:szCs w:val="26"/>
                <w:lang w:eastAsia="lv-LV"/>
              </w:rPr>
            </w:pPr>
          </w:p>
        </w:tc>
      </w:tr>
      <w:tr w:rsidR="00235446" w:rsidRPr="005553F7" w14:paraId="280F62ED" w14:textId="77777777" w:rsidTr="00E52604">
        <w:tc>
          <w:tcPr>
            <w:tcW w:w="5000" w:type="pct"/>
          </w:tcPr>
          <w:p w14:paraId="22CAF928" w14:textId="26C3EDDA" w:rsidR="002E6EBE" w:rsidRPr="005553F7" w:rsidRDefault="008B1638" w:rsidP="002E6EBE">
            <w:pPr>
              <w:jc w:val="both"/>
              <w:rPr>
                <w:rFonts w:ascii="Times New Roman" w:eastAsia="Times New Roman" w:hAnsi="Times New Roman" w:cs="Times New Roman"/>
                <w:b/>
                <w:bCs/>
                <w:color w:val="000000" w:themeColor="text1"/>
                <w:sz w:val="26"/>
                <w:szCs w:val="26"/>
                <w:lang w:eastAsia="lv-LV"/>
              </w:rPr>
            </w:pPr>
            <w:r w:rsidRPr="005553F7">
              <w:rPr>
                <w:rFonts w:ascii="Times New Roman" w:eastAsia="Times New Roman" w:hAnsi="Times New Roman" w:cs="Times New Roman"/>
                <w:b/>
                <w:bCs/>
                <w:color w:val="000000" w:themeColor="text1"/>
                <w:sz w:val="26"/>
                <w:szCs w:val="26"/>
                <w:lang w:eastAsia="lv-LV"/>
              </w:rPr>
              <w:t>5. Ietekme uz pašvaldības funkcijām un cilvēkresursiem</w:t>
            </w:r>
          </w:p>
          <w:p w14:paraId="2BB80F68" w14:textId="77777777" w:rsidR="002E6EBE" w:rsidRPr="005553F7" w:rsidRDefault="002E6EBE" w:rsidP="002E6EBE">
            <w:pPr>
              <w:jc w:val="both"/>
              <w:rPr>
                <w:rFonts w:ascii="Times New Roman" w:eastAsia="Times New Roman" w:hAnsi="Times New Roman" w:cs="Times New Roman"/>
                <w:b/>
                <w:bCs/>
                <w:color w:val="000000" w:themeColor="text1"/>
                <w:sz w:val="26"/>
                <w:szCs w:val="26"/>
                <w:lang w:eastAsia="lv-LV"/>
              </w:rPr>
            </w:pPr>
          </w:p>
          <w:p w14:paraId="11118766" w14:textId="1C771A26" w:rsidR="002E6EBE" w:rsidRPr="005553F7" w:rsidRDefault="008B1638" w:rsidP="002E6EBE">
            <w:pPr>
              <w:jc w:val="both"/>
              <w:rPr>
                <w:rFonts w:ascii="Times New Roman" w:eastAsia="Times New Roman" w:hAnsi="Times New Roman" w:cs="Times New Roman"/>
                <w:color w:val="000000" w:themeColor="text1"/>
                <w:sz w:val="26"/>
                <w:szCs w:val="26"/>
                <w:lang w:eastAsia="lv-LV"/>
              </w:rPr>
            </w:pPr>
            <w:r w:rsidRPr="005553F7">
              <w:rPr>
                <w:rFonts w:ascii="Times New Roman" w:eastAsia="Times New Roman" w:hAnsi="Times New Roman" w:cs="Times New Roman"/>
                <w:color w:val="000000" w:themeColor="text1"/>
                <w:sz w:val="26"/>
                <w:szCs w:val="26"/>
                <w:lang w:eastAsia="lv-LV"/>
              </w:rPr>
              <w:t>Neietekmē</w:t>
            </w:r>
          </w:p>
          <w:p w14:paraId="1D963F84" w14:textId="4F33CB78" w:rsidR="002E6EBE" w:rsidRPr="005553F7" w:rsidRDefault="002E6EBE" w:rsidP="002E6EBE">
            <w:pPr>
              <w:jc w:val="both"/>
              <w:rPr>
                <w:rFonts w:ascii="Times New Roman" w:eastAsia="Times New Roman" w:hAnsi="Times New Roman" w:cs="Times New Roman"/>
                <w:b/>
                <w:bCs/>
                <w:color w:val="000000" w:themeColor="text1"/>
                <w:sz w:val="26"/>
                <w:szCs w:val="26"/>
                <w:lang w:eastAsia="lv-LV"/>
              </w:rPr>
            </w:pPr>
          </w:p>
        </w:tc>
      </w:tr>
      <w:tr w:rsidR="00235446" w:rsidRPr="005553F7" w14:paraId="54A43D2F" w14:textId="77777777" w:rsidTr="00E52604">
        <w:tc>
          <w:tcPr>
            <w:tcW w:w="5000" w:type="pct"/>
          </w:tcPr>
          <w:p w14:paraId="2D2D120D" w14:textId="554D7259" w:rsidR="002E6EBE" w:rsidRPr="005553F7" w:rsidRDefault="008B1638" w:rsidP="002E6EBE">
            <w:pPr>
              <w:rPr>
                <w:rFonts w:ascii="Times New Roman" w:eastAsia="Times New Roman" w:hAnsi="Times New Roman" w:cs="Times New Roman"/>
                <w:b/>
                <w:bCs/>
                <w:color w:val="000000" w:themeColor="text1"/>
                <w:sz w:val="26"/>
                <w:szCs w:val="26"/>
                <w:lang w:eastAsia="lv-LV"/>
              </w:rPr>
            </w:pPr>
            <w:r w:rsidRPr="005553F7">
              <w:rPr>
                <w:rFonts w:ascii="Times New Roman" w:eastAsia="Times New Roman" w:hAnsi="Times New Roman" w:cs="Times New Roman"/>
                <w:b/>
                <w:bCs/>
                <w:color w:val="000000" w:themeColor="text1"/>
                <w:sz w:val="26"/>
                <w:szCs w:val="26"/>
                <w:lang w:eastAsia="lv-LV"/>
              </w:rPr>
              <w:t>6. Izpildes nodrošināšana</w:t>
            </w:r>
          </w:p>
          <w:p w14:paraId="4E74C41D" w14:textId="77777777" w:rsidR="002E6EBE" w:rsidRPr="005553F7" w:rsidRDefault="002E6EBE" w:rsidP="002E6EBE">
            <w:pPr>
              <w:rPr>
                <w:rFonts w:ascii="Times New Roman" w:eastAsia="Times New Roman" w:hAnsi="Times New Roman" w:cs="Times New Roman"/>
                <w:b/>
                <w:bCs/>
                <w:color w:val="000000" w:themeColor="text1"/>
                <w:sz w:val="26"/>
                <w:szCs w:val="26"/>
                <w:lang w:eastAsia="lv-LV"/>
              </w:rPr>
            </w:pPr>
          </w:p>
          <w:p w14:paraId="596597BB" w14:textId="77777777" w:rsidR="002E6EBE" w:rsidRPr="005553F7" w:rsidRDefault="008B1638" w:rsidP="002E6EBE">
            <w:pPr>
              <w:jc w:val="both"/>
              <w:rPr>
                <w:rFonts w:ascii="Times New Roman" w:hAnsi="Times New Roman" w:cs="Times New Roman"/>
                <w:sz w:val="26"/>
                <w:szCs w:val="26"/>
              </w:rPr>
            </w:pPr>
            <w:r w:rsidRPr="005553F7">
              <w:rPr>
                <w:rFonts w:ascii="Times New Roman" w:hAnsi="Times New Roman" w:cs="Times New Roman"/>
                <w:sz w:val="26"/>
                <w:szCs w:val="26"/>
              </w:rPr>
              <w:t>Saistošo noteikumu izpildi nodrošina Rīgas valstspilsētas pašvaldības Izglītības, kultūras un sporta departamenta Administratīvā pārvalde.</w:t>
            </w:r>
          </w:p>
          <w:p w14:paraId="255BFA76" w14:textId="70946A0B" w:rsidR="002E6EBE" w:rsidRPr="005553F7" w:rsidRDefault="002E6EBE" w:rsidP="002E6EBE">
            <w:pPr>
              <w:rPr>
                <w:rFonts w:ascii="Times New Roman" w:eastAsia="Times New Roman" w:hAnsi="Times New Roman" w:cs="Times New Roman"/>
                <w:b/>
                <w:bCs/>
                <w:color w:val="000000" w:themeColor="text1"/>
                <w:sz w:val="26"/>
                <w:szCs w:val="26"/>
                <w:lang w:eastAsia="lv-LV"/>
              </w:rPr>
            </w:pPr>
          </w:p>
        </w:tc>
      </w:tr>
      <w:tr w:rsidR="00235446" w:rsidRPr="005553F7" w14:paraId="54C9558D" w14:textId="77777777" w:rsidTr="00E52604">
        <w:tc>
          <w:tcPr>
            <w:tcW w:w="5000" w:type="pct"/>
          </w:tcPr>
          <w:p w14:paraId="7BCC7547" w14:textId="17289A66" w:rsidR="002E6EBE" w:rsidRPr="005553F7" w:rsidRDefault="008B1638" w:rsidP="002E6EBE">
            <w:pPr>
              <w:jc w:val="both"/>
              <w:rPr>
                <w:rFonts w:ascii="Times New Roman" w:eastAsia="Times New Roman" w:hAnsi="Times New Roman" w:cs="Times New Roman"/>
                <w:b/>
                <w:bCs/>
                <w:color w:val="000000" w:themeColor="text1"/>
                <w:sz w:val="26"/>
                <w:szCs w:val="26"/>
                <w:lang w:eastAsia="lv-LV"/>
              </w:rPr>
            </w:pPr>
            <w:r w:rsidRPr="005553F7">
              <w:rPr>
                <w:rFonts w:ascii="Times New Roman" w:eastAsia="Times New Roman" w:hAnsi="Times New Roman" w:cs="Times New Roman"/>
                <w:b/>
                <w:bCs/>
                <w:color w:val="000000" w:themeColor="text1"/>
                <w:sz w:val="26"/>
                <w:szCs w:val="26"/>
                <w:lang w:eastAsia="lv-LV"/>
              </w:rPr>
              <w:t>7. Prasību un izmaksu samērīgums pret ieguvumiem, ko sniedz mērķa sasniegšana</w:t>
            </w:r>
          </w:p>
          <w:p w14:paraId="660C5A92" w14:textId="77777777" w:rsidR="002E6EBE" w:rsidRPr="005553F7" w:rsidRDefault="002E6EBE" w:rsidP="002E6EBE">
            <w:pPr>
              <w:rPr>
                <w:rFonts w:ascii="Times New Roman" w:eastAsia="Times New Roman" w:hAnsi="Times New Roman" w:cs="Times New Roman"/>
                <w:b/>
                <w:bCs/>
                <w:color w:val="000000" w:themeColor="text1"/>
                <w:sz w:val="26"/>
                <w:szCs w:val="26"/>
                <w:lang w:eastAsia="lv-LV"/>
              </w:rPr>
            </w:pPr>
          </w:p>
          <w:p w14:paraId="5876FA18" w14:textId="6E315CE1" w:rsidR="002E6EBE" w:rsidRPr="005553F7" w:rsidRDefault="008B1638" w:rsidP="002E6EBE">
            <w:pPr>
              <w:jc w:val="both"/>
              <w:rPr>
                <w:rFonts w:ascii="Times New Roman" w:hAnsi="Times New Roman" w:cs="Times New Roman"/>
                <w:sz w:val="26"/>
                <w:szCs w:val="26"/>
              </w:rPr>
            </w:pPr>
            <w:r w:rsidRPr="005553F7">
              <w:rPr>
                <w:rFonts w:ascii="Times New Roman" w:hAnsi="Times New Roman" w:cs="Times New Roman"/>
                <w:sz w:val="26"/>
                <w:szCs w:val="26"/>
              </w:rPr>
              <w:t>Saistošie noteikumi ir atbilstoši iecerētā mērķa nodrošināšanai – noteikt kārtību, kādā Pašvaldība nodrošina līdzfinansējumu privātam bērnu uzraudzības pakalpojumam un līdzfinansējuma apmēru par vienu bērnu. Pašvaldības izraudzītie līdzekļi ir leģitīmi un rīcība ir piemērota leģitīmā mērķa sasniegšanai – ir noteiktas prasības Pašvaldības līdzfinansējuma piešķiršanai, izmaksai, kā arī līdzfinansējuma pārtraukšanai par bērnam sniegto uzraudzības pakalpojumu.</w:t>
            </w:r>
          </w:p>
          <w:p w14:paraId="67AC3710" w14:textId="02FB8682" w:rsidR="002E6EBE" w:rsidRPr="005553F7" w:rsidRDefault="002E6EBE" w:rsidP="002E6EBE">
            <w:pPr>
              <w:rPr>
                <w:rFonts w:ascii="Times New Roman" w:eastAsia="Times New Roman" w:hAnsi="Times New Roman" w:cs="Times New Roman"/>
                <w:b/>
                <w:bCs/>
                <w:color w:val="000000" w:themeColor="text1"/>
                <w:sz w:val="26"/>
                <w:szCs w:val="26"/>
                <w:lang w:eastAsia="lv-LV"/>
              </w:rPr>
            </w:pPr>
          </w:p>
        </w:tc>
      </w:tr>
      <w:tr w:rsidR="00235446" w:rsidRPr="005553F7" w14:paraId="1996B93B" w14:textId="77777777" w:rsidTr="00E52604">
        <w:tc>
          <w:tcPr>
            <w:tcW w:w="5000" w:type="pct"/>
          </w:tcPr>
          <w:p w14:paraId="038C6057" w14:textId="0BB7FB46" w:rsidR="002E6EBE" w:rsidRPr="005553F7" w:rsidRDefault="008B1638" w:rsidP="002E6EBE">
            <w:pPr>
              <w:jc w:val="both"/>
              <w:rPr>
                <w:rFonts w:ascii="Times New Roman" w:eastAsia="Times New Roman" w:hAnsi="Times New Roman" w:cs="Times New Roman"/>
                <w:b/>
                <w:bCs/>
                <w:color w:val="000000" w:themeColor="text1"/>
                <w:sz w:val="26"/>
                <w:szCs w:val="26"/>
                <w:lang w:eastAsia="lv-LV"/>
              </w:rPr>
            </w:pPr>
            <w:r w:rsidRPr="005553F7">
              <w:rPr>
                <w:rFonts w:ascii="Times New Roman" w:eastAsia="Times New Roman" w:hAnsi="Times New Roman" w:cs="Times New Roman"/>
                <w:b/>
                <w:bCs/>
                <w:color w:val="000000" w:themeColor="text1"/>
                <w:sz w:val="26"/>
                <w:szCs w:val="26"/>
                <w:lang w:eastAsia="lv-LV"/>
              </w:rPr>
              <w:t>8. Izstrādes gaitā veiktās konsultācijas ar privātpersonām un institūcijām, tostarp sabiedrības viedokļa noskaidrošanā gūtā informācija</w:t>
            </w:r>
          </w:p>
          <w:p w14:paraId="4F477A8E" w14:textId="77777777" w:rsidR="002E6EBE" w:rsidRPr="005553F7" w:rsidRDefault="002E6EBE" w:rsidP="002E6EBE">
            <w:pPr>
              <w:rPr>
                <w:rFonts w:ascii="Times New Roman" w:eastAsia="Times New Roman" w:hAnsi="Times New Roman" w:cs="Times New Roman"/>
                <w:b/>
                <w:bCs/>
                <w:color w:val="000000" w:themeColor="text1"/>
                <w:sz w:val="26"/>
                <w:szCs w:val="26"/>
                <w:lang w:eastAsia="lv-LV"/>
              </w:rPr>
            </w:pPr>
          </w:p>
          <w:p w14:paraId="1A03A9D3" w14:textId="54790C5B" w:rsidR="002E6EBE" w:rsidRPr="007A789C" w:rsidRDefault="008B1638" w:rsidP="007A789C">
            <w:pPr>
              <w:jc w:val="both"/>
              <w:rPr>
                <w:rFonts w:ascii="Times New Roman" w:hAnsi="Times New Roman" w:cs="Times New Roman"/>
                <w:noProof/>
                <w:sz w:val="26"/>
                <w:szCs w:val="26"/>
              </w:rPr>
            </w:pPr>
            <w:r w:rsidRPr="005553F7">
              <w:rPr>
                <w:rFonts w:ascii="Times New Roman" w:hAnsi="Times New Roman" w:cs="Times New Roman"/>
                <w:noProof/>
                <w:sz w:val="26"/>
                <w:szCs w:val="26"/>
              </w:rPr>
              <w:t xml:space="preserve">Atbilstoši Pašvaldības likuma 46.panta trešajai daļai saistošie noteikumi un tam pievienotais paskaidrojuma raksts tika publicēts pašvaldības oficiālajā tīmekļvietnē sabiedrības viedokļa noskaidrošanai laika periodā no 2024.gada </w:t>
            </w:r>
            <w:r w:rsidR="003E164B">
              <w:rPr>
                <w:rFonts w:ascii="Times New Roman" w:hAnsi="Times New Roman" w:cs="Times New Roman"/>
                <w:noProof/>
                <w:sz w:val="26"/>
                <w:szCs w:val="26"/>
              </w:rPr>
              <w:t>3</w:t>
            </w:r>
            <w:r w:rsidRPr="005553F7">
              <w:rPr>
                <w:rFonts w:ascii="Times New Roman" w:hAnsi="Times New Roman" w:cs="Times New Roman"/>
                <w:noProof/>
                <w:sz w:val="26"/>
                <w:szCs w:val="26"/>
              </w:rPr>
              <w:t>.</w:t>
            </w:r>
            <w:r w:rsidR="003E164B">
              <w:rPr>
                <w:rFonts w:ascii="Times New Roman" w:hAnsi="Times New Roman" w:cs="Times New Roman"/>
                <w:noProof/>
                <w:sz w:val="26"/>
                <w:szCs w:val="26"/>
              </w:rPr>
              <w:t xml:space="preserve">maija </w:t>
            </w:r>
            <w:r w:rsidRPr="005553F7">
              <w:rPr>
                <w:rFonts w:ascii="Times New Roman" w:hAnsi="Times New Roman" w:cs="Times New Roman"/>
                <w:noProof/>
                <w:sz w:val="26"/>
                <w:szCs w:val="26"/>
              </w:rPr>
              <w:t xml:space="preserve">līdz </w:t>
            </w:r>
            <w:r w:rsidR="003E164B">
              <w:rPr>
                <w:rFonts w:ascii="Times New Roman" w:hAnsi="Times New Roman" w:cs="Times New Roman"/>
                <w:noProof/>
                <w:sz w:val="26"/>
                <w:szCs w:val="26"/>
              </w:rPr>
              <w:t>20</w:t>
            </w:r>
            <w:r w:rsidRPr="005553F7">
              <w:rPr>
                <w:rFonts w:ascii="Times New Roman" w:hAnsi="Times New Roman" w:cs="Times New Roman"/>
                <w:noProof/>
                <w:sz w:val="26"/>
                <w:szCs w:val="26"/>
              </w:rPr>
              <w:t xml:space="preserve">. maijam. </w:t>
            </w:r>
          </w:p>
        </w:tc>
      </w:tr>
    </w:tbl>
    <w:p w14:paraId="06C29EBE" w14:textId="77777777" w:rsidR="007752F6" w:rsidRPr="005553F7" w:rsidRDefault="007752F6" w:rsidP="00F10E25">
      <w:pPr>
        <w:shd w:val="clear" w:color="auto" w:fill="FFFFFF"/>
        <w:spacing w:after="0" w:line="240" w:lineRule="auto"/>
        <w:rPr>
          <w:rFonts w:ascii="Times New Roman" w:eastAsia="Times New Roman" w:hAnsi="Times New Roman" w:cs="Times New Roman"/>
          <w:b/>
          <w:bCs/>
          <w:color w:val="751315"/>
          <w:sz w:val="26"/>
          <w:szCs w:val="26"/>
          <w:lang w:eastAsia="lv-LV"/>
        </w:rPr>
      </w:pPr>
    </w:p>
    <w:sectPr w:rsidR="007752F6" w:rsidRPr="005553F7" w:rsidSect="00E52604">
      <w:headerReference w:type="default" r:id="rId7"/>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0744" w14:textId="77777777" w:rsidR="00B9199C" w:rsidRDefault="00B9199C">
      <w:pPr>
        <w:spacing w:after="0" w:line="240" w:lineRule="auto"/>
      </w:pPr>
      <w:r>
        <w:separator/>
      </w:r>
    </w:p>
  </w:endnote>
  <w:endnote w:type="continuationSeparator" w:id="0">
    <w:p w14:paraId="62E065E0" w14:textId="77777777" w:rsidR="00B9199C" w:rsidRDefault="00B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431476134"/>
      <w:docPartObj>
        <w:docPartGallery w:val="Page Numbers (Bottom of Page)"/>
        <w:docPartUnique/>
      </w:docPartObj>
    </w:sdtPr>
    <w:sdtEndPr/>
    <w:sdtContent>
      <w:p w14:paraId="51C5F0BC" w14:textId="01962A67" w:rsidR="00E52604" w:rsidRPr="00E52604" w:rsidRDefault="00E52604" w:rsidP="00E52604">
        <w:pPr>
          <w:pStyle w:val="Kjene"/>
          <w:jc w:val="center"/>
          <w:rPr>
            <w:rFonts w:ascii="Times New Roman" w:hAnsi="Times New Roman" w:cs="Times New Roman"/>
            <w:sz w:val="26"/>
            <w:szCs w:val="26"/>
          </w:rPr>
        </w:pPr>
        <w:r w:rsidRPr="00E52604">
          <w:rPr>
            <w:rFonts w:ascii="Times New Roman" w:hAnsi="Times New Roman" w:cs="Times New Roman"/>
            <w:sz w:val="26"/>
            <w:szCs w:val="26"/>
          </w:rPr>
          <w:fldChar w:fldCharType="begin"/>
        </w:r>
        <w:r w:rsidRPr="00E52604">
          <w:rPr>
            <w:rFonts w:ascii="Times New Roman" w:hAnsi="Times New Roman" w:cs="Times New Roman"/>
            <w:sz w:val="26"/>
            <w:szCs w:val="26"/>
          </w:rPr>
          <w:instrText>PAGE   \* MERGEFORMAT</w:instrText>
        </w:r>
        <w:r w:rsidRPr="00E52604">
          <w:rPr>
            <w:rFonts w:ascii="Times New Roman" w:hAnsi="Times New Roman" w:cs="Times New Roman"/>
            <w:sz w:val="26"/>
            <w:szCs w:val="26"/>
          </w:rPr>
          <w:fldChar w:fldCharType="separate"/>
        </w:r>
        <w:r w:rsidRPr="00E52604">
          <w:rPr>
            <w:rFonts w:ascii="Times New Roman" w:hAnsi="Times New Roman" w:cs="Times New Roman"/>
            <w:sz w:val="26"/>
            <w:szCs w:val="26"/>
          </w:rPr>
          <w:t>2</w:t>
        </w:r>
        <w:r w:rsidRPr="00E52604">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9381" w14:textId="77777777" w:rsidR="00B9199C" w:rsidRDefault="00B9199C">
      <w:pPr>
        <w:spacing w:after="0" w:line="240" w:lineRule="auto"/>
      </w:pPr>
      <w:r>
        <w:separator/>
      </w:r>
    </w:p>
  </w:footnote>
  <w:footnote w:type="continuationSeparator" w:id="0">
    <w:p w14:paraId="2E924104" w14:textId="77777777" w:rsidR="00B9199C" w:rsidRDefault="00B9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E090" w14:textId="3388612B" w:rsidR="00464AA1" w:rsidRPr="00464AA1" w:rsidRDefault="00464AA1">
    <w:pPr>
      <w:pStyle w:val="Galvene"/>
      <w:jc w:val="center"/>
      <w:rPr>
        <w:rFonts w:ascii="Times New Roman" w:hAnsi="Times New Roman" w:cs="Times New Roman"/>
        <w:sz w:val="26"/>
        <w:szCs w:val="26"/>
      </w:rPr>
    </w:pPr>
  </w:p>
  <w:p w14:paraId="18EF6D0A" w14:textId="77777777" w:rsidR="00464AA1" w:rsidRDefault="00464A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0DC9"/>
    <w:multiLevelType w:val="hybridMultilevel"/>
    <w:tmpl w:val="2A9E7EA4"/>
    <w:lvl w:ilvl="0" w:tplc="D5141226">
      <w:start w:val="1"/>
      <w:numFmt w:val="decimal"/>
      <w:lvlText w:val="%1."/>
      <w:lvlJc w:val="left"/>
      <w:pPr>
        <w:ind w:left="780" w:hanging="420"/>
      </w:pPr>
      <w:rPr>
        <w:rFonts w:hint="default"/>
      </w:rPr>
    </w:lvl>
    <w:lvl w:ilvl="1" w:tplc="AB346EF0" w:tentative="1">
      <w:start w:val="1"/>
      <w:numFmt w:val="lowerLetter"/>
      <w:lvlText w:val="%2."/>
      <w:lvlJc w:val="left"/>
      <w:pPr>
        <w:ind w:left="1440" w:hanging="360"/>
      </w:pPr>
    </w:lvl>
    <w:lvl w:ilvl="2" w:tplc="675A6C5A" w:tentative="1">
      <w:start w:val="1"/>
      <w:numFmt w:val="lowerRoman"/>
      <w:lvlText w:val="%3."/>
      <w:lvlJc w:val="right"/>
      <w:pPr>
        <w:ind w:left="2160" w:hanging="180"/>
      </w:pPr>
    </w:lvl>
    <w:lvl w:ilvl="3" w:tplc="4CBC2420" w:tentative="1">
      <w:start w:val="1"/>
      <w:numFmt w:val="decimal"/>
      <w:lvlText w:val="%4."/>
      <w:lvlJc w:val="left"/>
      <w:pPr>
        <w:ind w:left="2880" w:hanging="360"/>
      </w:pPr>
    </w:lvl>
    <w:lvl w:ilvl="4" w:tplc="3424B696" w:tentative="1">
      <w:start w:val="1"/>
      <w:numFmt w:val="lowerLetter"/>
      <w:lvlText w:val="%5."/>
      <w:lvlJc w:val="left"/>
      <w:pPr>
        <w:ind w:left="3600" w:hanging="360"/>
      </w:pPr>
    </w:lvl>
    <w:lvl w:ilvl="5" w:tplc="0D3E7882" w:tentative="1">
      <w:start w:val="1"/>
      <w:numFmt w:val="lowerRoman"/>
      <w:lvlText w:val="%6."/>
      <w:lvlJc w:val="right"/>
      <w:pPr>
        <w:ind w:left="4320" w:hanging="180"/>
      </w:pPr>
    </w:lvl>
    <w:lvl w:ilvl="6" w:tplc="91943D12" w:tentative="1">
      <w:start w:val="1"/>
      <w:numFmt w:val="decimal"/>
      <w:lvlText w:val="%7."/>
      <w:lvlJc w:val="left"/>
      <w:pPr>
        <w:ind w:left="5040" w:hanging="360"/>
      </w:pPr>
    </w:lvl>
    <w:lvl w:ilvl="7" w:tplc="53E63998" w:tentative="1">
      <w:start w:val="1"/>
      <w:numFmt w:val="lowerLetter"/>
      <w:lvlText w:val="%8."/>
      <w:lvlJc w:val="left"/>
      <w:pPr>
        <w:ind w:left="5760" w:hanging="360"/>
      </w:pPr>
    </w:lvl>
    <w:lvl w:ilvl="8" w:tplc="0C880E48" w:tentative="1">
      <w:start w:val="1"/>
      <w:numFmt w:val="lowerRoman"/>
      <w:lvlText w:val="%9."/>
      <w:lvlJc w:val="right"/>
      <w:pPr>
        <w:ind w:left="6480" w:hanging="180"/>
      </w:pPr>
    </w:lvl>
  </w:abstractNum>
  <w:abstractNum w:abstractNumId="1" w15:restartNumberingAfterBreak="0">
    <w:nsid w:val="304C7F2C"/>
    <w:multiLevelType w:val="hybridMultilevel"/>
    <w:tmpl w:val="10E0C2A8"/>
    <w:lvl w:ilvl="0" w:tplc="1E4EF260">
      <w:start w:val="1"/>
      <w:numFmt w:val="decimal"/>
      <w:lvlText w:val="%1."/>
      <w:lvlJc w:val="left"/>
      <w:pPr>
        <w:ind w:left="720" w:hanging="360"/>
      </w:pPr>
    </w:lvl>
    <w:lvl w:ilvl="1" w:tplc="1430D4CE">
      <w:start w:val="1"/>
      <w:numFmt w:val="lowerLetter"/>
      <w:lvlText w:val="%2."/>
      <w:lvlJc w:val="left"/>
      <w:pPr>
        <w:ind w:left="1440" w:hanging="360"/>
      </w:pPr>
    </w:lvl>
    <w:lvl w:ilvl="2" w:tplc="81423520" w:tentative="1">
      <w:start w:val="1"/>
      <w:numFmt w:val="lowerRoman"/>
      <w:lvlText w:val="%3."/>
      <w:lvlJc w:val="right"/>
      <w:pPr>
        <w:ind w:left="2160" w:hanging="180"/>
      </w:pPr>
    </w:lvl>
    <w:lvl w:ilvl="3" w:tplc="85F810BC" w:tentative="1">
      <w:start w:val="1"/>
      <w:numFmt w:val="decimal"/>
      <w:lvlText w:val="%4."/>
      <w:lvlJc w:val="left"/>
      <w:pPr>
        <w:ind w:left="2880" w:hanging="360"/>
      </w:pPr>
    </w:lvl>
    <w:lvl w:ilvl="4" w:tplc="54B03852" w:tentative="1">
      <w:start w:val="1"/>
      <w:numFmt w:val="lowerLetter"/>
      <w:lvlText w:val="%5."/>
      <w:lvlJc w:val="left"/>
      <w:pPr>
        <w:ind w:left="3600" w:hanging="360"/>
      </w:pPr>
    </w:lvl>
    <w:lvl w:ilvl="5" w:tplc="1DF22F70" w:tentative="1">
      <w:start w:val="1"/>
      <w:numFmt w:val="lowerRoman"/>
      <w:lvlText w:val="%6."/>
      <w:lvlJc w:val="right"/>
      <w:pPr>
        <w:ind w:left="4320" w:hanging="180"/>
      </w:pPr>
    </w:lvl>
    <w:lvl w:ilvl="6" w:tplc="4A7259EE" w:tentative="1">
      <w:start w:val="1"/>
      <w:numFmt w:val="decimal"/>
      <w:lvlText w:val="%7."/>
      <w:lvlJc w:val="left"/>
      <w:pPr>
        <w:ind w:left="5040" w:hanging="360"/>
      </w:pPr>
    </w:lvl>
    <w:lvl w:ilvl="7" w:tplc="6156BD80" w:tentative="1">
      <w:start w:val="1"/>
      <w:numFmt w:val="lowerLetter"/>
      <w:lvlText w:val="%8."/>
      <w:lvlJc w:val="left"/>
      <w:pPr>
        <w:ind w:left="5760" w:hanging="360"/>
      </w:pPr>
    </w:lvl>
    <w:lvl w:ilvl="8" w:tplc="67025248" w:tentative="1">
      <w:start w:val="1"/>
      <w:numFmt w:val="lowerRoman"/>
      <w:lvlText w:val="%9."/>
      <w:lvlJc w:val="right"/>
      <w:pPr>
        <w:ind w:left="6480" w:hanging="180"/>
      </w:pPr>
    </w:lvl>
  </w:abstractNum>
  <w:abstractNum w:abstractNumId="2" w15:restartNumberingAfterBreak="0">
    <w:nsid w:val="7E5A0C1E"/>
    <w:multiLevelType w:val="hybridMultilevel"/>
    <w:tmpl w:val="20B2CA22"/>
    <w:lvl w:ilvl="0" w:tplc="F1341924">
      <w:start w:val="1"/>
      <w:numFmt w:val="decimal"/>
      <w:lvlText w:val="%1."/>
      <w:lvlJc w:val="left"/>
      <w:pPr>
        <w:ind w:left="720" w:hanging="360"/>
      </w:pPr>
      <w:rPr>
        <w:rFonts w:hint="default"/>
      </w:rPr>
    </w:lvl>
    <w:lvl w:ilvl="1" w:tplc="FBBCF7E6" w:tentative="1">
      <w:start w:val="1"/>
      <w:numFmt w:val="lowerLetter"/>
      <w:lvlText w:val="%2."/>
      <w:lvlJc w:val="left"/>
      <w:pPr>
        <w:ind w:left="1440" w:hanging="360"/>
      </w:pPr>
    </w:lvl>
    <w:lvl w:ilvl="2" w:tplc="C5329982" w:tentative="1">
      <w:start w:val="1"/>
      <w:numFmt w:val="lowerRoman"/>
      <w:lvlText w:val="%3."/>
      <w:lvlJc w:val="right"/>
      <w:pPr>
        <w:ind w:left="2160" w:hanging="180"/>
      </w:pPr>
    </w:lvl>
    <w:lvl w:ilvl="3" w:tplc="83F83600" w:tentative="1">
      <w:start w:val="1"/>
      <w:numFmt w:val="decimal"/>
      <w:lvlText w:val="%4."/>
      <w:lvlJc w:val="left"/>
      <w:pPr>
        <w:ind w:left="2880" w:hanging="360"/>
      </w:pPr>
    </w:lvl>
    <w:lvl w:ilvl="4" w:tplc="0B7C0AA2" w:tentative="1">
      <w:start w:val="1"/>
      <w:numFmt w:val="lowerLetter"/>
      <w:lvlText w:val="%5."/>
      <w:lvlJc w:val="left"/>
      <w:pPr>
        <w:ind w:left="3600" w:hanging="360"/>
      </w:pPr>
    </w:lvl>
    <w:lvl w:ilvl="5" w:tplc="68529C0C" w:tentative="1">
      <w:start w:val="1"/>
      <w:numFmt w:val="lowerRoman"/>
      <w:lvlText w:val="%6."/>
      <w:lvlJc w:val="right"/>
      <w:pPr>
        <w:ind w:left="4320" w:hanging="180"/>
      </w:pPr>
    </w:lvl>
    <w:lvl w:ilvl="6" w:tplc="FCE80700" w:tentative="1">
      <w:start w:val="1"/>
      <w:numFmt w:val="decimal"/>
      <w:lvlText w:val="%7."/>
      <w:lvlJc w:val="left"/>
      <w:pPr>
        <w:ind w:left="5040" w:hanging="360"/>
      </w:pPr>
    </w:lvl>
    <w:lvl w:ilvl="7" w:tplc="04462AB0" w:tentative="1">
      <w:start w:val="1"/>
      <w:numFmt w:val="lowerLetter"/>
      <w:lvlText w:val="%8."/>
      <w:lvlJc w:val="left"/>
      <w:pPr>
        <w:ind w:left="5760" w:hanging="360"/>
      </w:pPr>
    </w:lvl>
    <w:lvl w:ilvl="8" w:tplc="1FB264F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F6"/>
    <w:rsid w:val="00124F43"/>
    <w:rsid w:val="001929D5"/>
    <w:rsid w:val="001A4A24"/>
    <w:rsid w:val="001F14D4"/>
    <w:rsid w:val="00235446"/>
    <w:rsid w:val="00267674"/>
    <w:rsid w:val="00271D86"/>
    <w:rsid w:val="002E6EBE"/>
    <w:rsid w:val="002F56BC"/>
    <w:rsid w:val="00377A22"/>
    <w:rsid w:val="003D1D7D"/>
    <w:rsid w:val="003E164B"/>
    <w:rsid w:val="00444237"/>
    <w:rsid w:val="00464AA1"/>
    <w:rsid w:val="004E17DC"/>
    <w:rsid w:val="004E403B"/>
    <w:rsid w:val="004E582F"/>
    <w:rsid w:val="0053234F"/>
    <w:rsid w:val="005553F7"/>
    <w:rsid w:val="00641B27"/>
    <w:rsid w:val="00751899"/>
    <w:rsid w:val="007752F6"/>
    <w:rsid w:val="007A789C"/>
    <w:rsid w:val="008B1638"/>
    <w:rsid w:val="008C5041"/>
    <w:rsid w:val="00965DE1"/>
    <w:rsid w:val="009C1D24"/>
    <w:rsid w:val="009D76E9"/>
    <w:rsid w:val="00B9199C"/>
    <w:rsid w:val="00C81FD7"/>
    <w:rsid w:val="00CC7B57"/>
    <w:rsid w:val="00CD5B22"/>
    <w:rsid w:val="00D51952"/>
    <w:rsid w:val="00D865F3"/>
    <w:rsid w:val="00E4791C"/>
    <w:rsid w:val="00E52604"/>
    <w:rsid w:val="00EC1258"/>
    <w:rsid w:val="00ED48C3"/>
    <w:rsid w:val="00ED734B"/>
    <w:rsid w:val="00F10E25"/>
    <w:rsid w:val="00FA3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D424"/>
  <w15:chartTrackingRefBased/>
  <w15:docId w15:val="{8B911C2C-1C3A-4583-8FE6-C7FC992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52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7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752F6"/>
    <w:pPr>
      <w:ind w:left="720"/>
      <w:contextualSpacing/>
    </w:pPr>
  </w:style>
  <w:style w:type="paragraph" w:styleId="Galvene">
    <w:name w:val="header"/>
    <w:basedOn w:val="Parasts"/>
    <w:link w:val="GalveneRakstz"/>
    <w:uiPriority w:val="99"/>
    <w:unhideWhenUsed/>
    <w:rsid w:val="00464A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4AA1"/>
  </w:style>
  <w:style w:type="paragraph" w:styleId="Kjene">
    <w:name w:val="footer"/>
    <w:basedOn w:val="Parasts"/>
    <w:link w:val="KjeneRakstz"/>
    <w:uiPriority w:val="99"/>
    <w:unhideWhenUsed/>
    <w:rsid w:val="00464A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4AA1"/>
  </w:style>
  <w:style w:type="paragraph" w:styleId="Paraststmeklis">
    <w:name w:val="Normal (Web)"/>
    <w:basedOn w:val="Parasts"/>
    <w:uiPriority w:val="99"/>
    <w:semiHidden/>
    <w:unhideWhenUsed/>
    <w:rsid w:val="002E6EB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5254</Words>
  <Characters>2996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Reinika</dc:creator>
  <cp:lastModifiedBy>Ludmila Oļska</cp:lastModifiedBy>
  <cp:revision>10</cp:revision>
  <cp:lastPrinted>2024-04-26T11:25:00Z</cp:lastPrinted>
  <dcterms:created xsi:type="dcterms:W3CDTF">2024-03-07T12:57:00Z</dcterms:created>
  <dcterms:modified xsi:type="dcterms:W3CDTF">2024-05-02T12:43:00Z</dcterms:modified>
</cp:coreProperties>
</file>