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01B8" w14:textId="77777777" w:rsidR="00965DE1" w:rsidRPr="00965DE1" w:rsidRDefault="00716541" w:rsidP="00E663DF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965DE1">
        <w:rPr>
          <w:rFonts w:ascii="Times New Roman" w:hAnsi="Times New Roman" w:cs="Times New Roman"/>
          <w:b/>
          <w:noProof/>
          <w:sz w:val="26"/>
          <w:szCs w:val="26"/>
        </w:rPr>
        <w:t xml:space="preserve">Paskaidrojuma raksts </w:t>
      </w:r>
    </w:p>
    <w:p w14:paraId="6DFB51A6" w14:textId="11DFA795" w:rsidR="00965DE1" w:rsidRDefault="00716541" w:rsidP="00E663DF">
      <w:pPr>
        <w:spacing w:after="0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65DE1">
        <w:rPr>
          <w:rFonts w:ascii="Times New Roman" w:hAnsi="Times New Roman" w:cs="Times New Roman"/>
          <w:b/>
          <w:bCs/>
          <w:noProof/>
          <w:sz w:val="26"/>
          <w:szCs w:val="26"/>
        </w:rPr>
        <w:t>Rīgas domes #SEDES_NORISES_DATUMS_V_L# saistošajiem noteikumiem Nr. #LEMUMA_NUMURS#</w:t>
      </w:r>
    </w:p>
    <w:p w14:paraId="352F102C" w14:textId="77777777" w:rsidR="00E663DF" w:rsidRDefault="00E663DF" w:rsidP="00E663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</w:p>
    <w:p w14:paraId="2553688A" w14:textId="7CCE4516" w:rsidR="0093437C" w:rsidRPr="002B5A18" w:rsidRDefault="00716541" w:rsidP="002B5A1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93437C">
        <w:rPr>
          <w:rFonts w:ascii="Times New Roman" w:hAnsi="Times New Roman" w:cs="Times New Roman"/>
          <w:b/>
          <w:bCs/>
          <w:noProof/>
          <w:sz w:val="26"/>
          <w:szCs w:val="26"/>
        </w:rPr>
        <w:t>“</w:t>
      </w:r>
      <w:r w:rsidR="002B5A18" w:rsidRPr="002B5A18">
        <w:rPr>
          <w:rFonts w:ascii="Times New Roman" w:hAnsi="Times New Roman" w:cs="Times New Roman"/>
          <w:b/>
          <w:bCs/>
          <w:noProof/>
          <w:sz w:val="26"/>
          <w:szCs w:val="26"/>
        </w:rPr>
        <w:t>Rīgas domes 2024. gada __.____ saistošie noteikumi Nr. RD-24-__-sn “Rīgas valstspilsētas sabiedriskā transporta lietošanas noteikumi”</w:t>
      </w:r>
      <w:r w:rsidR="002B5A18">
        <w:rPr>
          <w:rFonts w:ascii="Times New Roman" w:hAnsi="Times New Roman" w:cs="Times New Roman"/>
          <w:b/>
          <w:bCs/>
          <w:noProof/>
          <w:sz w:val="26"/>
          <w:szCs w:val="26"/>
        </w:rPr>
        <w:t>”</w:t>
      </w:r>
    </w:p>
    <w:p w14:paraId="426D485A" w14:textId="77777777" w:rsidR="00E663DF" w:rsidRPr="00281B23" w:rsidRDefault="00E663DF" w:rsidP="00F10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lv-LV"/>
        </w:rPr>
      </w:pP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627A1" w14:paraId="321D0289" w14:textId="77777777" w:rsidTr="00E663DF">
        <w:trPr>
          <w:trHeight w:val="654"/>
        </w:trPr>
        <w:tc>
          <w:tcPr>
            <w:tcW w:w="9493" w:type="dxa"/>
            <w:shd w:val="clear" w:color="auto" w:fill="auto"/>
          </w:tcPr>
          <w:p w14:paraId="2614DA55" w14:textId="740C821A" w:rsidR="008229BD" w:rsidRPr="00460908" w:rsidRDefault="00716541" w:rsidP="00460908">
            <w:pPr>
              <w:pStyle w:val="Sarakstarindkopa"/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609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Mērķi un nepieciešamības pamatojums, tostarp, raksturojot iespējamās alternatīvas, kas neparedz tiesiskā regulējuma izstrādi</w:t>
            </w:r>
          </w:p>
          <w:p w14:paraId="19A5431D" w14:textId="026B6090" w:rsidR="00460908" w:rsidRPr="00460908" w:rsidRDefault="00460908" w:rsidP="00460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</w:p>
          <w:p w14:paraId="5D305C8A" w14:textId="4423276A" w:rsidR="000D4C25" w:rsidRDefault="00460908" w:rsidP="000D4C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N</w:t>
            </w:r>
            <w:r w:rsidRPr="00C919E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oteikumu </w:t>
            </w:r>
            <w:r w:rsidR="00345AC5" w:rsidRP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“Rīgas valstspilsētas sabiedriskā transporta lietošanas noteikumi”</w:t>
            </w:r>
            <w:r w:rsid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(turpmāk – noteikumi) </w:t>
            </w:r>
            <w:r w:rsidRPr="00C919E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mērķis ir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noteikt </w:t>
            </w:r>
            <w:r w:rsidRPr="00C919E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Rīgas valstspilsētas sabiedriskā transporta (tramvaju, trolejbusu un autobusu) lietošanas kārtību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.</w:t>
            </w:r>
          </w:p>
          <w:p w14:paraId="34194CE8" w14:textId="1259E33D" w:rsidR="00460908" w:rsidRDefault="00460908" w:rsidP="000D4C2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Ministru kabineta 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2012.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 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gada 28.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 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august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a noteikum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Nr. 599 “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Sabiedriskā transporta pakalpojumu sniegšanas un izmantošanas kārtība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”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nosaka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vispārīgo 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sabiedriskā transporta pakalpojumu sniegšanas un izmantošanas kārtību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un 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līgumsoda maksimālo apmēru un piemērošanas kārtību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, </w:t>
            </w:r>
            <w:r w:rsid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vienlaikus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šajā normatīvajā aktā ir noteikts deleģējums pašvaldībām noteikt</w:t>
            </w:r>
            <w:r w:rsid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savu, speciālu sabiedriskā transporta lietošanas kārtību, 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piemēram,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citus biļetes derīguma un tās izmantošanas nosacījumus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, kā arī 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citu bagāžas pārvadāšanas kārtību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. </w:t>
            </w:r>
            <w:r w:rsid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A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r noteikumiem</w:t>
            </w:r>
            <w:r w:rsid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tiek noteikta šī kārtība, kā arī 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tiek noteikts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pienākums pārvadātājam nodrošināt transportlīdzekļus ar 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videonovērošanas kamer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ām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transportlīdzekļa salonā esošo personu videonovērošana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i, kā arī noteikti šo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videonovērošan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u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ar audioierakst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iem</w:t>
            </w:r>
            <w:r w:rsidR="000D4C25" w:rsidRP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nolūki</w:t>
            </w:r>
            <w:r w:rsidR="000D4C2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u.tml.</w:t>
            </w:r>
          </w:p>
          <w:p w14:paraId="63D65F90" w14:textId="74733719" w:rsidR="00C919E6" w:rsidRPr="00281B23" w:rsidRDefault="00460908" w:rsidP="004609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Līdz šim spēkā esošo Rīgas domes 2012.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 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gada 28.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 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februā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ra 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saistošo noteikumu Nr.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 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165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“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Par Rīgas pilsētas sabiedriskā transporta lietošanu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” 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izdošanas pamats ietver atsauci uz spēku zaudējušā likuma </w:t>
            </w:r>
            <w:r w:rsidRPr="004609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>“</w:t>
            </w:r>
            <w:hyperlink r:id="rId8" w:tgtFrame="_blank" w:history="1">
              <w:r w:rsidRPr="00460908">
                <w:rPr>
                  <w:rStyle w:val="Hipersaite"/>
                  <w:rFonts w:ascii="Times New Roman" w:eastAsia="Times New Roman" w:hAnsi="Times New Roman" w:cs="Times New Roman"/>
                  <w:noProof/>
                  <w:color w:val="auto"/>
                  <w:sz w:val="26"/>
                  <w:szCs w:val="26"/>
                  <w:u w:val="none"/>
                  <w:lang w:eastAsia="lv-LV"/>
                </w:rPr>
                <w:t>Par pašvaldībām</w:t>
              </w:r>
            </w:hyperlink>
            <w:r w:rsidRPr="0046090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lv-LV"/>
              </w:rPr>
              <w:t xml:space="preserve">” </w:t>
            </w:r>
            <w:r w:rsidRPr="0046090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normām, tādēļ ir nepieciešams izdot jaunus saistošos noteikumus.</w:t>
            </w:r>
          </w:p>
        </w:tc>
      </w:tr>
      <w:tr w:rsidR="006627A1" w14:paraId="6F6E7C67" w14:textId="77777777" w:rsidTr="00E663DF">
        <w:tc>
          <w:tcPr>
            <w:tcW w:w="9493" w:type="dxa"/>
          </w:tcPr>
          <w:p w14:paraId="01527FE5" w14:textId="6DEE744C" w:rsidR="0093437C" w:rsidRPr="00E4791C" w:rsidRDefault="00716541" w:rsidP="009343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E479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2. Fiskālā ietekme uz pašvaldības budžetu, iekļaujot attiecīgus aprēķinus</w:t>
            </w:r>
          </w:p>
          <w:p w14:paraId="2F7C5D5B" w14:textId="77777777" w:rsidR="00C919E6" w:rsidRDefault="00C919E6" w:rsidP="00C91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</w:p>
          <w:p w14:paraId="111F0E26" w14:textId="7E6A4AA1" w:rsidR="0093437C" w:rsidRPr="00281B23" w:rsidRDefault="00345AC5" w:rsidP="00C91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N</w:t>
            </w:r>
            <w:r w:rsidR="00C919E6" w:rsidRPr="00C919E6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oteikumu īstenošana neietekmēs pašvaldībai pieejamos resursus, nav nepieciešama jaunu institūciju vai darba vietu izveide.</w:t>
            </w:r>
          </w:p>
        </w:tc>
      </w:tr>
      <w:tr w:rsidR="006627A1" w14:paraId="7EF01694" w14:textId="77777777" w:rsidTr="00E663DF">
        <w:tc>
          <w:tcPr>
            <w:tcW w:w="9493" w:type="dxa"/>
          </w:tcPr>
          <w:p w14:paraId="15A7EBD1" w14:textId="05B65B68" w:rsidR="0093437C" w:rsidRPr="00E4791C" w:rsidRDefault="00716541" w:rsidP="0093437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E479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3. Sociālā ietekme, ietekme uz vidi, iedzīvotāju veselību, uzņēmējdarbības vidi pašvaldības teritorijā, kā arī plānotā regulējuma ietekme uz konkurenci (aktuālā situācija, prognozes tirgū un atbilstība brīvai un godīgai konkurencei)</w:t>
            </w:r>
          </w:p>
          <w:p w14:paraId="323D8913" w14:textId="77777777" w:rsidR="0093437C" w:rsidRPr="00C919E6" w:rsidRDefault="0093437C" w:rsidP="00C91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</w:p>
          <w:p w14:paraId="68221798" w14:textId="5DA0DB38" w:rsidR="00C919E6" w:rsidRPr="00345AC5" w:rsidRDefault="00345AC5" w:rsidP="00C919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Nav būtiskas ietekmes.</w:t>
            </w:r>
          </w:p>
        </w:tc>
      </w:tr>
      <w:tr w:rsidR="006627A1" w14:paraId="6251B64A" w14:textId="77777777" w:rsidTr="00E663DF">
        <w:tc>
          <w:tcPr>
            <w:tcW w:w="9493" w:type="dxa"/>
          </w:tcPr>
          <w:p w14:paraId="50703145" w14:textId="3FDD459A" w:rsidR="0093437C" w:rsidRPr="00E4791C" w:rsidRDefault="00716541" w:rsidP="009343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E479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4. Ietekme uz administratīvajām procedūrām un to izmaksām gan attiecībā uz saimnieciskās darbības veicējiem, gan fiziskajām personām un nevalstiskā sektora organizācijām, gan budžeta finansētām institūcijām</w:t>
            </w:r>
          </w:p>
          <w:p w14:paraId="5B14ED53" w14:textId="77777777" w:rsidR="0093437C" w:rsidRPr="00C919E6" w:rsidRDefault="0093437C" w:rsidP="00C919E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</w:p>
          <w:p w14:paraId="0C959A6B" w14:textId="2D489CA6" w:rsidR="00C919E6" w:rsidRPr="00345AC5" w:rsidRDefault="00345AC5" w:rsidP="00C919E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Neietekmē.</w:t>
            </w:r>
          </w:p>
        </w:tc>
      </w:tr>
      <w:tr w:rsidR="006627A1" w14:paraId="280F62ED" w14:textId="77777777" w:rsidTr="00E663DF">
        <w:tc>
          <w:tcPr>
            <w:tcW w:w="9493" w:type="dxa"/>
          </w:tcPr>
          <w:p w14:paraId="22CAF928" w14:textId="26C3EDDA" w:rsidR="0093437C" w:rsidRPr="00E4791C" w:rsidRDefault="00716541" w:rsidP="009343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E479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5. Ietekme uz pašvaldības funkcijām un cilvēkresursiem</w:t>
            </w:r>
          </w:p>
          <w:p w14:paraId="7F826637" w14:textId="77777777" w:rsidR="0093437C" w:rsidRDefault="0093437C" w:rsidP="00C919E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</w:p>
          <w:p w14:paraId="1D963F84" w14:textId="59C6920E" w:rsidR="00C919E6" w:rsidRPr="00C919E6" w:rsidRDefault="00345AC5" w:rsidP="00C919E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Neietekmē.</w:t>
            </w:r>
          </w:p>
        </w:tc>
      </w:tr>
      <w:tr w:rsidR="006627A1" w14:paraId="54A43D2F" w14:textId="77777777" w:rsidTr="00E663DF">
        <w:tc>
          <w:tcPr>
            <w:tcW w:w="9493" w:type="dxa"/>
          </w:tcPr>
          <w:p w14:paraId="2D2D120D" w14:textId="554D7259" w:rsidR="0093437C" w:rsidRPr="00E4791C" w:rsidRDefault="00716541" w:rsidP="0093437C">
            <w:pP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E479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6. Izpildes nodrošināšana</w:t>
            </w:r>
          </w:p>
          <w:p w14:paraId="15593CB4" w14:textId="77777777" w:rsidR="0093437C" w:rsidRDefault="0093437C" w:rsidP="00C919E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</w:p>
          <w:p w14:paraId="255BFA76" w14:textId="7AA24FA7" w:rsidR="00C919E6" w:rsidRPr="00C919E6" w:rsidRDefault="00345AC5" w:rsidP="00C919E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lastRenderedPageBreak/>
              <w:t>N</w:t>
            </w:r>
            <w:r w:rsidRPr="00345AC5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oteikumu izpildē nav paredzēta jaunu institūciju izveide, esošo likvidācija vai reorganizācija.</w:t>
            </w:r>
          </w:p>
        </w:tc>
      </w:tr>
      <w:tr w:rsidR="006627A1" w14:paraId="54C9558D" w14:textId="77777777" w:rsidTr="00E663DF">
        <w:tc>
          <w:tcPr>
            <w:tcW w:w="9493" w:type="dxa"/>
          </w:tcPr>
          <w:p w14:paraId="7BCC7547" w14:textId="17289A66" w:rsidR="0093437C" w:rsidRPr="00E4791C" w:rsidRDefault="00716541" w:rsidP="009343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E479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lastRenderedPageBreak/>
              <w:t>7. Prasību un izmaksu samērīgums pret ieguvumiem, ko sniedz mērķa sasniegšana</w:t>
            </w:r>
          </w:p>
          <w:p w14:paraId="46BD7453" w14:textId="77777777" w:rsidR="00C919E6" w:rsidRDefault="00C919E6" w:rsidP="00C919E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14:paraId="67AC3710" w14:textId="1B7A87EE" w:rsidR="00C919E6" w:rsidRPr="00C919E6" w:rsidRDefault="00DA06B6" w:rsidP="00C919E6">
            <w:pPr>
              <w:jc w:val="both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Saistošie noteikumi</w:t>
            </w:r>
            <w:r w:rsidR="00E663DF" w:rsidRPr="0006050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ir piemērot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i</w:t>
            </w:r>
            <w:r w:rsidR="00E663DF" w:rsidRPr="00060507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iecerētā mērķa sasniegšanas nodrošināšanai un paredz tikai to, kas ir vajadzīgs minētā mērķa sasniegšanai.</w:t>
            </w:r>
          </w:p>
        </w:tc>
      </w:tr>
      <w:tr w:rsidR="006627A1" w14:paraId="1996B93B" w14:textId="77777777" w:rsidTr="00E663DF">
        <w:tc>
          <w:tcPr>
            <w:tcW w:w="9493" w:type="dxa"/>
          </w:tcPr>
          <w:p w14:paraId="038C6057" w14:textId="0BB7FB46" w:rsidR="0093437C" w:rsidRPr="00E4791C" w:rsidRDefault="00716541" w:rsidP="009343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E4791C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  <w:t>8. Izstrādes gaitā veiktās konsultācijas ar privātpersonām un institūcijām, tostarp sabiedrības viedokļa noskaidrošanā gūtā informācija</w:t>
            </w:r>
          </w:p>
          <w:p w14:paraId="2BE400B2" w14:textId="77777777" w:rsidR="00C919E6" w:rsidRDefault="00C919E6" w:rsidP="00C919E6">
            <w:pPr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</w:pPr>
          </w:p>
          <w:p w14:paraId="1A03A9D3" w14:textId="4F8167D2" w:rsidR="0093437C" w:rsidRPr="00E4791C" w:rsidRDefault="00716541" w:rsidP="00C919E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eastAsia="lv-LV"/>
              </w:rPr>
            </w:pPr>
            <w:r w:rsidRPr="000605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Atbilstoši Pašvaldību likuma 46. panta trešajai daļai </w:t>
            </w:r>
            <w:r w:rsidR="0027074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g</w:t>
            </w:r>
            <w:r w:rsidR="00C42631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rozījumu</w:t>
            </w:r>
            <w:r w:rsidRPr="000605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projekts un tam pievienotais paskaidrojuma raksts sabiedrības viedokļa noskaidrošanai no 2024. gada </w:t>
            </w:r>
            <w:r w:rsidR="002B5A1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2</w:t>
            </w:r>
            <w:r w:rsidR="001233F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6</w:t>
            </w:r>
            <w:r w:rsidR="002B5A1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 </w:t>
            </w:r>
            <w:r w:rsidR="00281B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aprīļa</w:t>
            </w:r>
            <w:r w:rsidRPr="000605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līdz 2024. gada </w:t>
            </w:r>
            <w:r w:rsidR="001233F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10</w:t>
            </w:r>
            <w:r w:rsidRPr="000605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. </w:t>
            </w:r>
            <w:r w:rsidR="00281B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maijam</w:t>
            </w:r>
            <w:r w:rsidRPr="000605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 xml:space="preserve"> publicēts Rīgas valstspilsētas pašvaldības tīmekļvietnē </w:t>
            </w:r>
            <w:hyperlink r:id="rId9" w:history="1">
              <w:r w:rsidRPr="00833D9B">
                <w:rPr>
                  <w:rStyle w:val="Hipersaite"/>
                  <w:rFonts w:ascii="Times New Roman" w:eastAsia="Times New Roman" w:hAnsi="Times New Roman" w:cs="Times New Roman"/>
                  <w:noProof/>
                  <w:color w:val="auto"/>
                  <w:sz w:val="26"/>
                  <w:szCs w:val="26"/>
                  <w:u w:val="none"/>
                  <w:lang w:eastAsia="lv-LV"/>
                </w:rPr>
                <w:t>www.riga.lv</w:t>
              </w:r>
            </w:hyperlink>
            <w:r w:rsidR="007F63BB">
              <w:rPr>
                <w:rStyle w:val="Hipersaite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u w:val="none"/>
                <w:lang w:eastAsia="lv-LV"/>
              </w:rPr>
              <w:t xml:space="preserve"> </w:t>
            </w:r>
            <w:r w:rsidR="007F63BB" w:rsidRPr="007F63BB">
              <w:rPr>
                <w:rStyle w:val="Hipersaite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u w:val="none"/>
                <w:lang w:eastAsia="lv-LV"/>
              </w:rPr>
              <w:t>sabiedrības viedokļa noskaidrošanai</w:t>
            </w:r>
            <w:r w:rsidRPr="00060507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6"/>
                <w:lang w:eastAsia="lv-LV"/>
              </w:rPr>
              <w:t>.</w:t>
            </w:r>
          </w:p>
        </w:tc>
      </w:tr>
    </w:tbl>
    <w:p w14:paraId="11EFBF71" w14:textId="35900FF1" w:rsidR="00D865F3" w:rsidRPr="00965DE1" w:rsidRDefault="00D865F3" w:rsidP="00F10E2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72C06BBC" w14:textId="5AF20DAC" w:rsidR="00D865F3" w:rsidRPr="00965DE1" w:rsidRDefault="00D865F3" w:rsidP="00F10E2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13035B6D" w14:textId="02D71335" w:rsidR="00D865F3" w:rsidRPr="00965DE1" w:rsidRDefault="00D865F3" w:rsidP="00F10E25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14:paraId="6267B39B" w14:textId="0455E9EF" w:rsidR="00FA3E04" w:rsidRPr="00965DE1" w:rsidRDefault="00716541" w:rsidP="00E663DF">
      <w:pPr>
        <w:tabs>
          <w:tab w:val="left" w:pos="8647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Rīgas d</w:t>
      </w:r>
      <w:r w:rsidRPr="00965DE1">
        <w:rPr>
          <w:rFonts w:ascii="Times New Roman" w:hAnsi="Times New Roman" w:cs="Times New Roman"/>
          <w:noProof/>
          <w:sz w:val="26"/>
          <w:szCs w:val="26"/>
        </w:rPr>
        <w:t xml:space="preserve">omes priekšsēdētājs </w:t>
      </w:r>
      <w:r w:rsidRPr="00965DE1">
        <w:rPr>
          <w:rFonts w:ascii="Times New Roman" w:hAnsi="Times New Roman" w:cs="Times New Roman"/>
          <w:noProof/>
          <w:sz w:val="26"/>
          <w:szCs w:val="26"/>
        </w:rPr>
        <w:tab/>
      </w:r>
      <w:r w:rsidR="001750D0">
        <w:rPr>
          <w:rFonts w:ascii="Times New Roman" w:hAnsi="Times New Roman" w:cs="Times New Roman"/>
          <w:noProof/>
          <w:sz w:val="26"/>
          <w:szCs w:val="26"/>
        </w:rPr>
        <w:t>V.</w:t>
      </w:r>
      <w:r w:rsidR="00261176">
        <w:rPr>
          <w:rFonts w:ascii="Times New Roman" w:hAnsi="Times New Roman" w:cs="Times New Roman"/>
          <w:noProof/>
          <w:sz w:val="26"/>
          <w:szCs w:val="26"/>
        </w:rPr>
        <w:t> </w:t>
      </w:r>
      <w:r w:rsidR="001750D0">
        <w:rPr>
          <w:rFonts w:ascii="Times New Roman" w:hAnsi="Times New Roman" w:cs="Times New Roman"/>
          <w:noProof/>
          <w:sz w:val="26"/>
          <w:szCs w:val="26"/>
        </w:rPr>
        <w:t>Ķirsis</w:t>
      </w:r>
    </w:p>
    <w:sectPr w:rsidR="00FA3E04" w:rsidRPr="00965DE1" w:rsidSect="00E663DF">
      <w:headerReference w:type="default" r:id="rId10"/>
      <w:footerReference w:type="default" r:id="rId11"/>
      <w:footerReference w:type="first" r:id="rId12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49E55" w14:textId="77777777" w:rsidR="00F6133F" w:rsidRDefault="00F6133F">
      <w:pPr>
        <w:spacing w:after="0" w:line="240" w:lineRule="auto"/>
      </w:pPr>
      <w:r>
        <w:separator/>
      </w:r>
    </w:p>
  </w:endnote>
  <w:endnote w:type="continuationSeparator" w:id="0">
    <w:p w14:paraId="0D9535F3" w14:textId="77777777" w:rsidR="00F6133F" w:rsidRDefault="00F6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992E" w14:textId="72F8833D" w:rsidR="00C114EF" w:rsidRDefault="00C114EF">
    <w:pPr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7B34" w14:textId="74D037C5" w:rsidR="00C114EF" w:rsidRDefault="00C114EF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7A97" w14:textId="77777777" w:rsidR="00F6133F" w:rsidRDefault="00F6133F">
      <w:pPr>
        <w:spacing w:after="0" w:line="240" w:lineRule="auto"/>
      </w:pPr>
      <w:r>
        <w:separator/>
      </w:r>
    </w:p>
  </w:footnote>
  <w:footnote w:type="continuationSeparator" w:id="0">
    <w:p w14:paraId="38500007" w14:textId="77777777" w:rsidR="00F6133F" w:rsidRDefault="00F6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5619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226AE090" w14:textId="1E0A98AC" w:rsidR="00464AA1" w:rsidRPr="00464AA1" w:rsidRDefault="00716541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464AA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464AA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464AA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464AA1">
          <w:rPr>
            <w:rFonts w:ascii="Times New Roman" w:hAnsi="Times New Roman" w:cs="Times New Roman"/>
            <w:sz w:val="26"/>
            <w:szCs w:val="26"/>
          </w:rPr>
          <w:t>2</w:t>
        </w:r>
        <w:r w:rsidRPr="00464AA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18EF6D0A" w14:textId="77777777" w:rsidR="00464AA1" w:rsidRDefault="00464AA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C7F2C"/>
    <w:multiLevelType w:val="hybridMultilevel"/>
    <w:tmpl w:val="10E0C2A8"/>
    <w:lvl w:ilvl="0" w:tplc="68480B1A">
      <w:start w:val="1"/>
      <w:numFmt w:val="decimal"/>
      <w:lvlText w:val="%1."/>
      <w:lvlJc w:val="left"/>
      <w:pPr>
        <w:ind w:left="720" w:hanging="360"/>
      </w:pPr>
    </w:lvl>
    <w:lvl w:ilvl="1" w:tplc="3C248CDC">
      <w:start w:val="1"/>
      <w:numFmt w:val="lowerLetter"/>
      <w:lvlText w:val="%2."/>
      <w:lvlJc w:val="left"/>
      <w:pPr>
        <w:ind w:left="1440" w:hanging="360"/>
      </w:pPr>
    </w:lvl>
    <w:lvl w:ilvl="2" w:tplc="4C06EA58" w:tentative="1">
      <w:start w:val="1"/>
      <w:numFmt w:val="lowerRoman"/>
      <w:lvlText w:val="%3."/>
      <w:lvlJc w:val="right"/>
      <w:pPr>
        <w:ind w:left="2160" w:hanging="180"/>
      </w:pPr>
    </w:lvl>
    <w:lvl w:ilvl="3" w:tplc="FA10FFB8" w:tentative="1">
      <w:start w:val="1"/>
      <w:numFmt w:val="decimal"/>
      <w:lvlText w:val="%4."/>
      <w:lvlJc w:val="left"/>
      <w:pPr>
        <w:ind w:left="2880" w:hanging="360"/>
      </w:pPr>
    </w:lvl>
    <w:lvl w:ilvl="4" w:tplc="BB38DC3C" w:tentative="1">
      <w:start w:val="1"/>
      <w:numFmt w:val="lowerLetter"/>
      <w:lvlText w:val="%5."/>
      <w:lvlJc w:val="left"/>
      <w:pPr>
        <w:ind w:left="3600" w:hanging="360"/>
      </w:pPr>
    </w:lvl>
    <w:lvl w:ilvl="5" w:tplc="727692B8" w:tentative="1">
      <w:start w:val="1"/>
      <w:numFmt w:val="lowerRoman"/>
      <w:lvlText w:val="%6."/>
      <w:lvlJc w:val="right"/>
      <w:pPr>
        <w:ind w:left="4320" w:hanging="180"/>
      </w:pPr>
    </w:lvl>
    <w:lvl w:ilvl="6" w:tplc="17AC69A4" w:tentative="1">
      <w:start w:val="1"/>
      <w:numFmt w:val="decimal"/>
      <w:lvlText w:val="%7."/>
      <w:lvlJc w:val="left"/>
      <w:pPr>
        <w:ind w:left="5040" w:hanging="360"/>
      </w:pPr>
    </w:lvl>
    <w:lvl w:ilvl="7" w:tplc="4EA44096" w:tentative="1">
      <w:start w:val="1"/>
      <w:numFmt w:val="lowerLetter"/>
      <w:lvlText w:val="%8."/>
      <w:lvlJc w:val="left"/>
      <w:pPr>
        <w:ind w:left="5760" w:hanging="360"/>
      </w:pPr>
    </w:lvl>
    <w:lvl w:ilvl="8" w:tplc="31946B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5734D"/>
    <w:multiLevelType w:val="hybridMultilevel"/>
    <w:tmpl w:val="8D86EF6E"/>
    <w:lvl w:ilvl="0" w:tplc="471C5CE8">
      <w:start w:val="1"/>
      <w:numFmt w:val="decimal"/>
      <w:lvlText w:val="%1."/>
      <w:lvlJc w:val="left"/>
      <w:pPr>
        <w:ind w:left="770" w:hanging="4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A0C1E"/>
    <w:multiLevelType w:val="hybridMultilevel"/>
    <w:tmpl w:val="20B2CA22"/>
    <w:lvl w:ilvl="0" w:tplc="551CA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309406" w:tentative="1">
      <w:start w:val="1"/>
      <w:numFmt w:val="lowerLetter"/>
      <w:lvlText w:val="%2."/>
      <w:lvlJc w:val="left"/>
      <w:pPr>
        <w:ind w:left="1440" w:hanging="360"/>
      </w:pPr>
    </w:lvl>
    <w:lvl w:ilvl="2" w:tplc="521A075E" w:tentative="1">
      <w:start w:val="1"/>
      <w:numFmt w:val="lowerRoman"/>
      <w:lvlText w:val="%3."/>
      <w:lvlJc w:val="right"/>
      <w:pPr>
        <w:ind w:left="2160" w:hanging="180"/>
      </w:pPr>
    </w:lvl>
    <w:lvl w:ilvl="3" w:tplc="03760836" w:tentative="1">
      <w:start w:val="1"/>
      <w:numFmt w:val="decimal"/>
      <w:lvlText w:val="%4."/>
      <w:lvlJc w:val="left"/>
      <w:pPr>
        <w:ind w:left="2880" w:hanging="360"/>
      </w:pPr>
    </w:lvl>
    <w:lvl w:ilvl="4" w:tplc="56B48932" w:tentative="1">
      <w:start w:val="1"/>
      <w:numFmt w:val="lowerLetter"/>
      <w:lvlText w:val="%5."/>
      <w:lvlJc w:val="left"/>
      <w:pPr>
        <w:ind w:left="3600" w:hanging="360"/>
      </w:pPr>
    </w:lvl>
    <w:lvl w:ilvl="5" w:tplc="D3922524" w:tentative="1">
      <w:start w:val="1"/>
      <w:numFmt w:val="lowerRoman"/>
      <w:lvlText w:val="%6."/>
      <w:lvlJc w:val="right"/>
      <w:pPr>
        <w:ind w:left="4320" w:hanging="180"/>
      </w:pPr>
    </w:lvl>
    <w:lvl w:ilvl="6" w:tplc="38906C9C" w:tentative="1">
      <w:start w:val="1"/>
      <w:numFmt w:val="decimal"/>
      <w:lvlText w:val="%7."/>
      <w:lvlJc w:val="left"/>
      <w:pPr>
        <w:ind w:left="5040" w:hanging="360"/>
      </w:pPr>
    </w:lvl>
    <w:lvl w:ilvl="7" w:tplc="FE1053F2" w:tentative="1">
      <w:start w:val="1"/>
      <w:numFmt w:val="lowerLetter"/>
      <w:lvlText w:val="%8."/>
      <w:lvlJc w:val="left"/>
      <w:pPr>
        <w:ind w:left="5760" w:hanging="360"/>
      </w:pPr>
    </w:lvl>
    <w:lvl w:ilvl="8" w:tplc="F224FAF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01328">
    <w:abstractNumId w:val="2"/>
  </w:num>
  <w:num w:numId="2" w16cid:durableId="196238762">
    <w:abstractNumId w:val="0"/>
  </w:num>
  <w:num w:numId="3" w16cid:durableId="130366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F6"/>
    <w:rsid w:val="00050420"/>
    <w:rsid w:val="00060507"/>
    <w:rsid w:val="00090A74"/>
    <w:rsid w:val="00094D57"/>
    <w:rsid w:val="000C3871"/>
    <w:rsid w:val="000C56FB"/>
    <w:rsid w:val="000D27A8"/>
    <w:rsid w:val="000D4C25"/>
    <w:rsid w:val="00110FB6"/>
    <w:rsid w:val="001233F7"/>
    <w:rsid w:val="001750D0"/>
    <w:rsid w:val="001823CF"/>
    <w:rsid w:val="001A4A24"/>
    <w:rsid w:val="00243B70"/>
    <w:rsid w:val="00261176"/>
    <w:rsid w:val="00270749"/>
    <w:rsid w:val="00271D86"/>
    <w:rsid w:val="00281B23"/>
    <w:rsid w:val="002B5A18"/>
    <w:rsid w:val="002D201B"/>
    <w:rsid w:val="002F56BC"/>
    <w:rsid w:val="00345AC5"/>
    <w:rsid w:val="00353BAF"/>
    <w:rsid w:val="003D1D7D"/>
    <w:rsid w:val="00444237"/>
    <w:rsid w:val="00460908"/>
    <w:rsid w:val="00464AA1"/>
    <w:rsid w:val="004E17DC"/>
    <w:rsid w:val="004E403B"/>
    <w:rsid w:val="004E582F"/>
    <w:rsid w:val="00503316"/>
    <w:rsid w:val="0057024E"/>
    <w:rsid w:val="0058108E"/>
    <w:rsid w:val="005816D5"/>
    <w:rsid w:val="005C4E52"/>
    <w:rsid w:val="005D2690"/>
    <w:rsid w:val="00641B27"/>
    <w:rsid w:val="006627A1"/>
    <w:rsid w:val="00716541"/>
    <w:rsid w:val="00751899"/>
    <w:rsid w:val="00775042"/>
    <w:rsid w:val="007752F6"/>
    <w:rsid w:val="007A38DF"/>
    <w:rsid w:val="007B3BFB"/>
    <w:rsid w:val="007F63BB"/>
    <w:rsid w:val="008229BD"/>
    <w:rsid w:val="008312B9"/>
    <w:rsid w:val="00833D9B"/>
    <w:rsid w:val="008C5041"/>
    <w:rsid w:val="008E7E3B"/>
    <w:rsid w:val="0093437C"/>
    <w:rsid w:val="00965DE1"/>
    <w:rsid w:val="009B5CFE"/>
    <w:rsid w:val="009C1D24"/>
    <w:rsid w:val="009D76E9"/>
    <w:rsid w:val="00A73937"/>
    <w:rsid w:val="00AB3DE2"/>
    <w:rsid w:val="00AD6EC0"/>
    <w:rsid w:val="00AE363B"/>
    <w:rsid w:val="00C114EF"/>
    <w:rsid w:val="00C42631"/>
    <w:rsid w:val="00C919E6"/>
    <w:rsid w:val="00C93939"/>
    <w:rsid w:val="00CD5B22"/>
    <w:rsid w:val="00D83E1E"/>
    <w:rsid w:val="00D865F3"/>
    <w:rsid w:val="00DA06B6"/>
    <w:rsid w:val="00DD02A6"/>
    <w:rsid w:val="00E15C81"/>
    <w:rsid w:val="00E4791C"/>
    <w:rsid w:val="00E663DF"/>
    <w:rsid w:val="00EF2BB1"/>
    <w:rsid w:val="00F10E25"/>
    <w:rsid w:val="00F34135"/>
    <w:rsid w:val="00F6133F"/>
    <w:rsid w:val="00F74B99"/>
    <w:rsid w:val="00FA3E04"/>
    <w:rsid w:val="00FC6BE6"/>
    <w:rsid w:val="00FC7170"/>
    <w:rsid w:val="00FD6E39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1D424"/>
  <w15:chartTrackingRefBased/>
  <w15:docId w15:val="{8B911C2C-1C3A-4583-8FE6-C7FC992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1B2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7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752F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64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64AA1"/>
  </w:style>
  <w:style w:type="paragraph" w:styleId="Kjene">
    <w:name w:val="footer"/>
    <w:basedOn w:val="Parasts"/>
    <w:link w:val="KjeneRakstz"/>
    <w:uiPriority w:val="99"/>
    <w:unhideWhenUsed/>
    <w:rsid w:val="00464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64AA1"/>
  </w:style>
  <w:style w:type="character" w:styleId="Hipersaite">
    <w:name w:val="Hyperlink"/>
    <w:basedOn w:val="Noklusjumarindkopasfonts"/>
    <w:uiPriority w:val="99"/>
    <w:unhideWhenUsed/>
    <w:rsid w:val="002D201B"/>
    <w:rPr>
      <w:color w:val="0000FF"/>
      <w:u w:val="single"/>
    </w:rPr>
  </w:style>
  <w:style w:type="paragraph" w:styleId="Prskatjums">
    <w:name w:val="Revision"/>
    <w:hidden/>
    <w:uiPriority w:val="99"/>
    <w:semiHidden/>
    <w:rsid w:val="008E7E3B"/>
    <w:pPr>
      <w:spacing w:after="0" w:line="240" w:lineRule="auto"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4609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iga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26AF-6748-41A5-9CD9-02A0B5CF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Reinika</dc:creator>
  <cp:lastModifiedBy>Santa Aveniņa</cp:lastModifiedBy>
  <cp:revision>2</cp:revision>
  <dcterms:created xsi:type="dcterms:W3CDTF">2024-04-26T09:34:00Z</dcterms:created>
  <dcterms:modified xsi:type="dcterms:W3CDTF">2024-04-26T09:34:00Z</dcterms:modified>
</cp:coreProperties>
</file>