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FD7D9" w14:textId="77777777" w:rsidR="00BB287F" w:rsidRPr="00BB287F" w:rsidRDefault="00C029D0" w:rsidP="00BB28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 w:bidi="ne-NP"/>
        </w:rPr>
      </w:pPr>
      <w:hyperlink r:id="rId7" w:tooltip="Atvērt citā formātā" w:history="1">
        <w:r w:rsidR="00BB287F" w:rsidRPr="00BB287F">
          <w:rPr>
            <w:rFonts w:ascii="Arial" w:eastAsia="Times New Roman" w:hAnsi="Arial" w:cs="Arial"/>
            <w:color w:val="16497B"/>
            <w:sz w:val="20"/>
            <w:szCs w:val="20"/>
            <w:u w:val="single"/>
            <w:lang w:eastAsia="lv-LV" w:bidi="ne-NP"/>
          </w:rPr>
          <w:t>5. pielikums</w:t>
        </w:r>
      </w:hyperlink>
      <w:r w:rsidR="00BB287F" w:rsidRPr="00BB287F">
        <w:rPr>
          <w:rFonts w:ascii="Arial" w:eastAsia="Times New Roman" w:hAnsi="Arial" w:cs="Arial"/>
          <w:color w:val="414142"/>
          <w:sz w:val="20"/>
          <w:szCs w:val="20"/>
          <w:lang w:eastAsia="lv-LV" w:bidi="ne-NP"/>
        </w:rPr>
        <w:br/>
        <w:t>Ministru kabineta</w:t>
      </w:r>
      <w:r w:rsidR="00BB287F" w:rsidRPr="00BB287F">
        <w:rPr>
          <w:rFonts w:ascii="Arial" w:eastAsia="Times New Roman" w:hAnsi="Arial" w:cs="Arial"/>
          <w:color w:val="414142"/>
          <w:sz w:val="20"/>
          <w:szCs w:val="20"/>
          <w:lang w:eastAsia="lv-LV" w:bidi="ne-NP"/>
        </w:rPr>
        <w:br/>
        <w:t>2016. gada 12. aprīļa</w:t>
      </w:r>
      <w:r w:rsidR="00BB287F" w:rsidRPr="00BB287F">
        <w:rPr>
          <w:rFonts w:ascii="Arial" w:eastAsia="Times New Roman" w:hAnsi="Arial" w:cs="Arial"/>
          <w:color w:val="414142"/>
          <w:sz w:val="20"/>
          <w:szCs w:val="20"/>
          <w:lang w:eastAsia="lv-LV" w:bidi="ne-NP"/>
        </w:rPr>
        <w:br/>
        <w:t>noteikumiem Nr. 225</w:t>
      </w:r>
      <w:bookmarkStart w:id="0" w:name="piel-642383"/>
      <w:bookmarkEnd w:id="0"/>
    </w:p>
    <w:p w14:paraId="2308801E" w14:textId="49D8788B" w:rsidR="00BB287F" w:rsidRDefault="00BB287F" w:rsidP="00BB287F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 w:bidi="ne-NP"/>
        </w:rPr>
      </w:pPr>
      <w:r w:rsidRPr="00BB287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 w:bidi="ne-NP"/>
        </w:rPr>
        <w:t>(Pielikums MK </w:t>
      </w:r>
      <w:hyperlink r:id="rId8" w:tgtFrame="_blank" w:history="1">
        <w:r w:rsidRPr="00BB287F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lv-LV" w:bidi="ne-NP"/>
          </w:rPr>
          <w:t>19.12.2017.</w:t>
        </w:r>
      </w:hyperlink>
      <w:r w:rsidRPr="00BB287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 w:bidi="ne-NP"/>
        </w:rPr>
        <w:t> noteikumu Nr. 759 redakcijā)</w:t>
      </w:r>
    </w:p>
    <w:p w14:paraId="10955A1F" w14:textId="77777777" w:rsidR="00BB287F" w:rsidRPr="00BB287F" w:rsidRDefault="00BB287F" w:rsidP="00BB287F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 w:bidi="ne-NP"/>
        </w:rPr>
      </w:pPr>
    </w:p>
    <w:p w14:paraId="1827C209" w14:textId="77777777" w:rsidR="00BB287F" w:rsidRPr="00BB287F" w:rsidRDefault="00BB287F" w:rsidP="00BB28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 w:bidi="ne-NP"/>
        </w:rPr>
      </w:pPr>
      <w:bookmarkStart w:id="1" w:name="642384"/>
      <w:bookmarkStart w:id="2" w:name="n-642384"/>
      <w:bookmarkEnd w:id="1"/>
      <w:bookmarkEnd w:id="2"/>
      <w:r w:rsidRPr="00BB287F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 w:bidi="ne-NP"/>
        </w:rPr>
        <w:t>Informācija par izmaksāto speciālo piemaksu par valsts vai pašvaldības institūcijai būtisko funkciju vai stratēģiski svarīgu mērķu īstenošanu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61"/>
        <w:gridCol w:w="4478"/>
        <w:gridCol w:w="1244"/>
        <w:gridCol w:w="1907"/>
      </w:tblGrid>
      <w:tr w:rsidR="00BB287F" w:rsidRPr="00BB287F" w14:paraId="19D73754" w14:textId="77777777" w:rsidTr="0030710F">
        <w:tc>
          <w:tcPr>
            <w:tcW w:w="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4BA384" w14:textId="77777777" w:rsidR="00BB287F" w:rsidRPr="00BB287F" w:rsidRDefault="00BB287F" w:rsidP="00BB287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BB287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Nr. p. k.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CCED66" w14:textId="77777777" w:rsidR="00BB287F" w:rsidRPr="00BB287F" w:rsidRDefault="00BB287F" w:rsidP="00BB287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BB287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Būtiskā funkcija vai stratēģiski svarīgais mērķis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BC31DB" w14:textId="77777777" w:rsidR="00BB287F" w:rsidRPr="00BB287F" w:rsidRDefault="00BB287F" w:rsidP="00BB287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BB287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Nodarbināto skaits, kam noteikta speciālā piemaksa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D16332" w14:textId="77777777" w:rsidR="00BB287F" w:rsidRPr="00BB287F" w:rsidRDefault="00BB287F" w:rsidP="00BB287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BB287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Speciālās piemaksas apmērs gadā būtiskai funkcijai vai stratēģiski svarīgam mērķim</w:t>
            </w:r>
            <w:r w:rsidRPr="00BB287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br/>
              <w:t>(neto, </w:t>
            </w:r>
            <w:r w:rsidRPr="00BB287F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 w:bidi="ne-NP"/>
              </w:rPr>
              <w:t>euro</w:t>
            </w:r>
            <w:r w:rsidRPr="00BB287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)</w:t>
            </w:r>
          </w:p>
        </w:tc>
      </w:tr>
      <w:tr w:rsidR="00BB287F" w:rsidRPr="00BB287F" w14:paraId="6B718841" w14:textId="77777777" w:rsidTr="0030710F">
        <w:tc>
          <w:tcPr>
            <w:tcW w:w="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7253E6" w14:textId="77777777" w:rsidR="00BB287F" w:rsidRPr="00BB287F" w:rsidRDefault="00BB287F" w:rsidP="00BB287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BB287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1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099C35" w14:textId="77777777" w:rsidR="00BB287F" w:rsidRPr="00BB287F" w:rsidRDefault="00BB287F" w:rsidP="00BB287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BB287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BA8E9F" w14:textId="77777777" w:rsidR="00BB287F" w:rsidRPr="00BB287F" w:rsidRDefault="00BB287F" w:rsidP="00BB287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BB287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3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FE3CDC" w14:textId="77777777" w:rsidR="00BB287F" w:rsidRPr="00BB287F" w:rsidRDefault="00BB287F" w:rsidP="00BB287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BB287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4</w:t>
            </w:r>
          </w:p>
        </w:tc>
      </w:tr>
      <w:tr w:rsidR="00BB287F" w:rsidRPr="00BB287F" w14:paraId="49E0CE59" w14:textId="77777777" w:rsidTr="0030710F">
        <w:trPr>
          <w:trHeight w:val="240"/>
        </w:trPr>
        <w:tc>
          <w:tcPr>
            <w:tcW w:w="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8518A0" w14:textId="70BD7788" w:rsidR="00BB287F" w:rsidRPr="00BB287F" w:rsidRDefault="00BB287F" w:rsidP="00BB287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BB287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1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0EAB6E" w14:textId="47ED981A" w:rsidR="00BB287F" w:rsidRPr="00C029D0" w:rsidRDefault="005469C0" w:rsidP="0030710F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C029D0"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  <w:t>Departamenta mērķu sasniegšan</w:t>
            </w:r>
            <w:r w:rsidR="00E84C00" w:rsidRPr="00C029D0"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  <w:t>a</w:t>
            </w:r>
            <w:r w:rsidRPr="00C029D0"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  <w:t xml:space="preserve"> teritorijas plānošanas funkciju īstenošanā, stratēģisko dokumentu izstrādē, kā arī realizējot virsvadību kvalitatīvas pilsētvides principu definēšanā un uzraudzībā</w:t>
            </w:r>
            <w:r w:rsidR="00E84C00" w:rsidRPr="00C029D0"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  <w:t>. K</w:t>
            </w:r>
            <w:r w:rsidR="006E447A" w:rsidRPr="00C029D0"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  <w:t>valitatīvas</w:t>
            </w:r>
            <w:r w:rsidR="003A4ACE" w:rsidRPr="00C029D0"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  <w:t xml:space="preserve"> pilsētvides attīstības sekmēšanai </w:t>
            </w:r>
            <w:r w:rsidR="00E84C00" w:rsidRPr="00C029D0"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  <w:t>p</w:t>
            </w:r>
            <w:r w:rsidR="003A4ACE" w:rsidRPr="00C029D0"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  <w:t>ilsētvides vadlīnij</w:t>
            </w:r>
            <w:r w:rsidR="00E93968" w:rsidRPr="00C029D0"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  <w:t>u izstrādāšana,</w:t>
            </w:r>
            <w:r w:rsidR="003A4ACE" w:rsidRPr="00C029D0"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  <w:t xml:space="preserve"> labiekārtojuma elementu katalog</w:t>
            </w:r>
            <w:r w:rsidR="00E93968" w:rsidRPr="00C029D0"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  <w:t>a izstrādāšana</w:t>
            </w:r>
            <w:r w:rsidR="003A4ACE" w:rsidRPr="00C029D0"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  <w:t>, kā arī kvalitatīv</w:t>
            </w:r>
            <w:r w:rsidR="00E84C00" w:rsidRPr="00C029D0"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  <w:t>a</w:t>
            </w:r>
            <w:r w:rsidR="003A4ACE" w:rsidRPr="00C029D0"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  <w:t xml:space="preserve"> Pilsētbūvniecības padomes darbīb</w:t>
            </w:r>
            <w:r w:rsidR="00E93968" w:rsidRPr="00C029D0"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  <w:t>as nodrošināšana</w:t>
            </w:r>
            <w:r w:rsidR="003A4ACE" w:rsidRPr="00C029D0">
              <w:rPr>
                <w:rFonts w:ascii="Times New Roman" w:eastAsia="Times New Roman" w:hAnsi="Times New Roman" w:cs="Times New Roman"/>
                <w:sz w:val="20"/>
                <w:szCs w:val="20"/>
                <w:lang w:eastAsia="lv-LV" w:bidi="ne-NP"/>
              </w:rPr>
              <w:t>, kurā tiek vērtēti sabiedrībai nozīmīgie pilsētvides objekti un jautājumi.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D39E29" w14:textId="4CAF00C6" w:rsidR="00BB287F" w:rsidRPr="00C029D0" w:rsidRDefault="00BB287F" w:rsidP="00BB287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C029D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 1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6766D4" w14:textId="37C0B131" w:rsidR="00BB287F" w:rsidRPr="00C029D0" w:rsidRDefault="00BB287F" w:rsidP="00BB287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C029D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 </w:t>
            </w:r>
            <w:r w:rsidR="000D4CF6" w:rsidRPr="00C029D0">
              <w:rPr>
                <w:rFonts w:ascii="Times New Roman" w:hAnsi="Times New Roman" w:cs="Times New Roman"/>
                <w:sz w:val="20"/>
                <w:szCs w:val="20"/>
              </w:rPr>
              <w:t>4300,76</w:t>
            </w:r>
          </w:p>
        </w:tc>
      </w:tr>
      <w:tr w:rsidR="00BB287F" w:rsidRPr="00BB287F" w14:paraId="22843FA9" w14:textId="77777777" w:rsidTr="0030710F">
        <w:tc>
          <w:tcPr>
            <w:tcW w:w="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775CC9" w14:textId="77777777" w:rsidR="00BB287F" w:rsidRPr="00BB287F" w:rsidRDefault="00BB287F" w:rsidP="00BB287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BB287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 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2F6935" w14:textId="77777777" w:rsidR="00BB287F" w:rsidRPr="00C029D0" w:rsidRDefault="00BB287F" w:rsidP="00BB287F">
            <w:pPr>
              <w:spacing w:before="195"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C029D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Kopā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E3D618" w14:textId="66ADDB1F" w:rsidR="00BB287F" w:rsidRPr="00C029D0" w:rsidRDefault="00BB287F" w:rsidP="00BB287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C029D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 </w:t>
            </w:r>
            <w:r w:rsidR="00D855C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1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992745" w14:textId="51EE3522" w:rsidR="00BB287F" w:rsidRPr="00C029D0" w:rsidRDefault="00BB287F" w:rsidP="00BB287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C029D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 </w:t>
            </w:r>
            <w:r w:rsidR="000D4CF6" w:rsidRPr="00C029D0">
              <w:rPr>
                <w:rFonts w:ascii="Times New Roman" w:hAnsi="Times New Roman" w:cs="Times New Roman"/>
                <w:sz w:val="20"/>
                <w:szCs w:val="20"/>
              </w:rPr>
              <w:t>4300,76</w:t>
            </w:r>
          </w:p>
        </w:tc>
      </w:tr>
      <w:tr w:rsidR="00BB287F" w:rsidRPr="00BB287F" w14:paraId="467AE30F" w14:textId="77777777" w:rsidTr="0030710F">
        <w:tc>
          <w:tcPr>
            <w:tcW w:w="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8AF5B5" w14:textId="77777777" w:rsidR="00BB287F" w:rsidRPr="00BB287F" w:rsidRDefault="00BB287F" w:rsidP="00BB287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BB287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 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010D40" w14:textId="77777777" w:rsidR="00BB287F" w:rsidRPr="00C029D0" w:rsidRDefault="00BB287F" w:rsidP="00BB287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C029D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Nodarbināto skaits, kam piešķirta speciālā piemaksa, % no kopējā iestādē nodarbināto skaita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662AB1" w14:textId="21971C08" w:rsidR="00BB287F" w:rsidRPr="00C029D0" w:rsidRDefault="00187E67" w:rsidP="00BB287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0,33</w:t>
            </w:r>
            <w:r w:rsidR="00715C5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%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8084FD" w14:textId="77777777" w:rsidR="00BB287F" w:rsidRPr="00C029D0" w:rsidRDefault="00BB287F" w:rsidP="00BB287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</w:pPr>
            <w:r w:rsidRPr="00C029D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 w:bidi="ne-NP"/>
              </w:rPr>
              <w:t>X</w:t>
            </w:r>
          </w:p>
        </w:tc>
      </w:tr>
    </w:tbl>
    <w:p w14:paraId="2D126114" w14:textId="77777777" w:rsidR="00D9713D" w:rsidRDefault="00D9713D"/>
    <w:sectPr w:rsidR="00D971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3C"/>
    <w:rsid w:val="000D4CF6"/>
    <w:rsid w:val="00187E67"/>
    <w:rsid w:val="001A1744"/>
    <w:rsid w:val="00221C3C"/>
    <w:rsid w:val="0030710F"/>
    <w:rsid w:val="00382079"/>
    <w:rsid w:val="003A4ACE"/>
    <w:rsid w:val="005469C0"/>
    <w:rsid w:val="006167AA"/>
    <w:rsid w:val="006E447A"/>
    <w:rsid w:val="00715C5A"/>
    <w:rsid w:val="007B47C1"/>
    <w:rsid w:val="008070BF"/>
    <w:rsid w:val="00A2165C"/>
    <w:rsid w:val="00AE6A03"/>
    <w:rsid w:val="00BB287F"/>
    <w:rsid w:val="00C029D0"/>
    <w:rsid w:val="00D855C0"/>
    <w:rsid w:val="00D9713D"/>
    <w:rsid w:val="00E84C00"/>
    <w:rsid w:val="00E93968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B43F3A"/>
  <w15:chartTrackingRefBased/>
  <w15:docId w15:val="{E624656F-302D-4475-AC25-9898328B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0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40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1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95998-grozijumi-ministru-kabineta-2016-gada-12-aprila-noteikumos-nr-225-kartiba-kada-tiek-publiskota-informacija-par-amatpersonu-darb...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likumi.lv/wwwraksti/2016/080/225/P5_01.01.2018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333004B761AFA42A864112EC44DC169" ma:contentTypeVersion="15" ma:contentTypeDescription="Izveidot jaunu dokumentu." ma:contentTypeScope="" ma:versionID="6c212419757ce8b92b9b24d283c59bcb">
  <xsd:schema xmlns:xsd="http://www.w3.org/2001/XMLSchema" xmlns:xs="http://www.w3.org/2001/XMLSchema" xmlns:p="http://schemas.microsoft.com/office/2006/metadata/properties" xmlns:ns2="3fe3dd55-d56b-4a7e-b9b0-c73eda21d3ed" xmlns:ns3="6ec2bc67-8aa8-4059-9eff-e5703bce233a" targetNamespace="http://schemas.microsoft.com/office/2006/metadata/properties" ma:root="true" ma:fieldsID="994118e685c612d1eced57b3f3773995" ns2:_="" ns3:_="">
    <xsd:import namespace="3fe3dd55-d56b-4a7e-b9b0-c73eda21d3ed"/>
    <xsd:import namespace="6ec2bc67-8aa8-4059-9eff-e5703bce2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3dd55-d56b-4a7e-b9b0-c73eda21d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2bc67-8aa8-4059-9eff-e5703bce233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54ef910-b0e0-4b9f-8b5a-aae5d005ea3e}" ma:internalName="TaxCatchAll" ma:showField="CatchAllData" ma:web="6ec2bc67-8aa8-4059-9eff-e5703bce2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e3dd55-d56b-4a7e-b9b0-c73eda21d3ed">
      <Terms xmlns="http://schemas.microsoft.com/office/infopath/2007/PartnerControls"/>
    </lcf76f155ced4ddcb4097134ff3c332f>
    <TaxCatchAll xmlns="6ec2bc67-8aa8-4059-9eff-e5703bce233a" xsi:nil="true"/>
  </documentManagement>
</p:properties>
</file>

<file path=customXml/itemProps1.xml><?xml version="1.0" encoding="utf-8"?>
<ds:datastoreItem xmlns:ds="http://schemas.openxmlformats.org/officeDocument/2006/customXml" ds:itemID="{52AB4876-F3AE-48FF-AD85-3C9507EC1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3dd55-d56b-4a7e-b9b0-c73eda21d3ed"/>
    <ds:schemaRef ds:uri="6ec2bc67-8aa8-4059-9eff-e5703bce2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260C3-6A2D-430D-B148-3288456EA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0C2A6-210D-41F0-BF71-48E2D5447DD4}">
  <ds:schemaRefs>
    <ds:schemaRef ds:uri="http://schemas.microsoft.com/office/2006/metadata/properties"/>
    <ds:schemaRef ds:uri="http://schemas.microsoft.com/office/infopath/2007/PartnerControls"/>
    <ds:schemaRef ds:uri="3fe3dd55-d56b-4a7e-b9b0-c73eda21d3ed"/>
    <ds:schemaRef ds:uri="6ec2bc67-8aa8-4059-9eff-e5703bce23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884</Words>
  <Characters>504</Characters>
  <Application>Microsoft Office Word</Application>
  <DocSecurity>0</DocSecurity>
  <Lines>4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Tininisa</dc:creator>
  <cp:keywords/>
  <dc:description/>
  <cp:lastModifiedBy>Ieva Tininisa</cp:lastModifiedBy>
  <cp:revision>19</cp:revision>
  <dcterms:created xsi:type="dcterms:W3CDTF">2024-05-14T09:17:00Z</dcterms:created>
  <dcterms:modified xsi:type="dcterms:W3CDTF">2024-05-14T10:34:00Z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0x010100A333004B761AFA42A864112EC44DC169</vt:lpwstr>
  </property>
  <property fmtid="{D5CDD505-2E9C-101B-9397-08002B2CF9AE}" pid="3" name="MediaServiceImageTags">
    <vt:lpwstr/>
  </property>
</Properties>
</file>